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1B" w:rsidRPr="00924BBD" w:rsidRDefault="00436C1B" w:rsidP="00924BBD">
      <w:pPr>
        <w:shd w:val="clear" w:color="auto" w:fill="FFFFFF"/>
        <w:spacing w:before="100" w:beforeAutospacing="1" w:after="240" w:line="240" w:lineRule="auto"/>
        <w:rPr>
          <w:rFonts w:ascii="Arial" w:hAnsi="Arial" w:cs="Arial"/>
          <w:color w:val="333333"/>
          <w:sz w:val="18"/>
          <w:szCs w:val="18"/>
          <w:lang w:eastAsia="es-ES"/>
        </w:rPr>
      </w:pPr>
      <w:bookmarkStart w:id="0" w:name="_GoBack"/>
      <w:bookmarkEnd w:id="0"/>
      <w:r w:rsidRPr="00924BBD">
        <w:rPr>
          <w:rFonts w:ascii="Arial" w:hAnsi="Arial" w:cs="Arial"/>
          <w:color w:val="3A77BB"/>
          <w:sz w:val="18"/>
          <w:szCs w:val="18"/>
          <w:lang w:eastAsia="es-ES"/>
        </w:rPr>
        <w:t>Los magistrados del máximo tribunal del país, por mayoría, consideran que el adicional de pago único previsto en el artículo 3° de la Ley 26773 se aplica a los infortunios laborales, producidos u originados en el ámbito del establecimiento laboral y no a los accidentes “in itinere”.</w:t>
      </w:r>
    </w:p>
    <w:p w:rsidR="00436C1B" w:rsidRPr="00924BBD" w:rsidRDefault="00436C1B" w:rsidP="00924BBD">
      <w:pPr>
        <w:pBdr>
          <w:bottom w:val="dotted" w:sz="6" w:space="8" w:color="CCCCCC"/>
        </w:pBdr>
        <w:shd w:val="clear" w:color="auto" w:fill="FFFFFF"/>
        <w:spacing w:after="150" w:line="240" w:lineRule="auto"/>
        <w:outlineLvl w:val="2"/>
        <w:rPr>
          <w:rFonts w:ascii="Arial" w:hAnsi="Arial" w:cs="Arial"/>
          <w:color w:val="333333"/>
          <w:sz w:val="43"/>
          <w:szCs w:val="43"/>
          <w:lang w:eastAsia="es-ES"/>
        </w:rPr>
      </w:pPr>
      <w:r w:rsidRPr="00924BBD">
        <w:rPr>
          <w:rFonts w:ascii="Arial" w:hAnsi="Arial" w:cs="Arial"/>
          <w:color w:val="333333"/>
          <w:sz w:val="24"/>
          <w:szCs w:val="24"/>
          <w:lang w:eastAsia="es-ES"/>
        </w:rPr>
        <w:t>CNT 64722/2013 - “Páez Alfonzo, Matilde y otro c/ Asociart ART S.A. y otro s/ indemnización por fallecimiento” – CSJN – 27/09/2018</w:t>
      </w:r>
    </w:p>
    <w:p w:rsidR="00436C1B" w:rsidRPr="00924BBD" w:rsidRDefault="00436C1B" w:rsidP="00924BBD">
      <w:pPr>
        <w:shd w:val="clear" w:color="auto" w:fill="FFFFFF"/>
        <w:spacing w:after="150" w:line="240" w:lineRule="auto"/>
        <w:rPr>
          <w:rFonts w:ascii="Arial" w:hAnsi="Arial" w:cs="Arial"/>
          <w:color w:val="333333"/>
          <w:sz w:val="18"/>
          <w:szCs w:val="18"/>
          <w:lang w:eastAsia="es-ES"/>
        </w:rPr>
      </w:pPr>
      <w:r w:rsidRPr="00924BBD">
        <w:rPr>
          <w:rFonts w:ascii="Arial" w:hAnsi="Arial" w:cs="Arial"/>
          <w:color w:val="184365"/>
          <w:sz w:val="18"/>
          <w:szCs w:val="18"/>
          <w:lang w:eastAsia="es-ES"/>
        </w:rPr>
        <w:t>ACCIDENTE DE TRABAJO “IN ITINERE”. Indemnización por fallecimiento. IMPUGNACIÓN VINCULADA CON LA APLICACIÓN AL CASO DEL ART. 3° DE LA LEY 26773. INDEMNIZACIÓN ADICIONAL DE PAGO ÚNICO. Interpretación normativa. Aplicación a los siniestros producidos en el ámbito del establecimiento laboral, y no a los accidentes “in itinere”. Doctrina del precedente “Espósito” de la CSJN. Sentencia de la Cámara. ARBITRARIEDAD. RECURSO EXTRAORDINARIO. Admisión. Se deja sin efecto sentencia. DISIDENCIA: Inconstitucionalidad del decreto 472/2014. Exceso reglamentario. Aplicación del Art. 3° de la ley 26773 al supuesto de accidente “in itinere” </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 resulta también procedente la impugnación vinculada con aplicación al caso del artículo 3° de la ley 26.773 toda vez que, aunque las objeciones planteadas remiten al examen de cuestiones de hecho y de derecho común, ajenas —como regla y por su naturaleza— al remedio del artículo 14 de la ley 48, cabe hacer excepción a ese principio y admitir la apelación en razón de que la sentencia recurrida se aparta de la solución legal prevista para el caso, con serio menoscabo de las garantías constitucionales (Fallos: 337:567 entre muchos otros).” (Del voto de la mayoría) </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 e1 artículo en cuestión establece que corresponde el adicional de pago único “cuando el daño se produzca en el lugar de trabajo o lo sufra el dependiente mientras se encuentre a disposición del empleador”. La Cámara sostuvo que los accidentes in itinere se encuentran “al amparo de este adicional, pese a lo confuso de su redacción.” ... el legislador quiso buscar una expresión asimilable a "en ocasión del trabajo" (el trabajador está fuera del lugar del trabajo pero está a disposición de su patrón pues se dirige a la empresa desde su casa o viceversa), todo ello en consonancia con lo dispuesto por el art. 9 L.C.T. y el principio de progresividad.” (Del voto de la mayoría) </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“Esa afirmación de la Cámara es completamente arbitraria porque la redacción de la norma no es confusa en absoluto. Tal inteligencia de la norma -que puede inferirse de lo expuesto en el considerando 50 del fallo dictado en la ya referida causa "Espósito"- es, además, la que proporciona una razonable y justificada respuesta al interrogante acerca de por qué la ley 26.773 ha querido intensificar la responsabilidad de las ART cuando el siniestro se produce en el lugar de trabajo propiamente dicho. Es que en ese ámbito, precisamente, las ART tienen la posibilidad de ejercer un control mayor y de adoptar todo tipo de medidas tendientes a alcanzar los objetivos primordiales del sistema creado por la Ley de Riesgos del Trabajo cuales son la "prevención" de accidentes y la reducción de la siniestralidad (artículo 1°, 1).” (Del voto de la mayoría) </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 es posible concluir que la intención del legislador plasmada en la norma ha sido la de circunscribir el beneficio a los infortunios laborales, producidos u originados en el ámbito del establecimiento laboral y no a los accidentes in itinere.” (Del voto de la mayoría) </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“En las condiciones expuestas corresponde descalificar la decisión recurrida por no ser derivación razonada del derecho vigente con aplicación a las circunstancias comprobadas de la causa ya que ha quedado demostrada la relación directa entre lo debatido y resuelto y las garantías constitucionales que se dicen vulneradas.” (Del voto de la mayoría) </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“Por ello, oído el señor Procurador Fiscal, se declara procedente el recurso extraordinario y se deja sin efecto la sentencia apelada, con el alcance indicado (…).” (Del voto de la mayoría)</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 en tales condiciones, corresponde confirmar la declaración de inconstitucionalidad del decreto 472/14, en cuanto introdujo modificaciones al régimen de reparaciones de la ley de riesgos del trabajo, por haber incurrido en exceso reglamentario y alteración del orden de prelación de normas (artículos 28, 31 y 99, inciso 2, de la Constitución Nacional).” (Del voto en disidencia del Dr. Rosatti)</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“Es que esta Corte ha señalado que el empleo de la conjunción disyuntiva "o" importa que la prestación especial procede en cualquiera de las dos situaciones que el propio legislador ha diferenciado, de manera tal que la segunda hipótesis no se refiere a un siniestro dentro del establecimiento sino fuera de éste (confr. argumentos de Fallos: 335:608).” (Del voto en disidencia del Dr. Rosatti)</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t>“En suma, la decisión de la cámara de encuadrar el accidente in itínere en el segundo supuesto mencionado -basándose en que el dependiente no está disponiendo de su tiempo, sino desplegando una actividad en razón del contrato cuando se traslada hacia el trabajo o vuelve a su hogar después de la jornada laboral-, aparece como razonable y adecuada al sintagma escogido por el legislador que, puede ser comprensivo de múltiples situaciones de hecho.” (Del voto en disidencia del Dr. Rosatti)</w:t>
      </w:r>
    </w:p>
    <w:p w:rsidR="00436C1B" w:rsidRPr="00924BBD" w:rsidRDefault="00436C1B" w:rsidP="00924BBD">
      <w:pPr>
        <w:shd w:val="clear" w:color="auto" w:fill="FFFFFF"/>
        <w:spacing w:after="150" w:line="240" w:lineRule="auto"/>
        <w:rPr>
          <w:rFonts w:ascii="Arial" w:hAnsi="Arial" w:cs="Arial"/>
          <w:color w:val="333333"/>
          <w:sz w:val="18"/>
          <w:szCs w:val="18"/>
          <w:lang w:eastAsia="es-ES"/>
        </w:rPr>
      </w:pPr>
      <w:r w:rsidRPr="00924BBD">
        <w:rPr>
          <w:rFonts w:ascii="Arial" w:hAnsi="Arial" w:cs="Arial"/>
          <w:b/>
          <w:bCs/>
          <w:color w:val="004276"/>
          <w:sz w:val="18"/>
          <w:lang w:eastAsia="es-ES"/>
        </w:rPr>
        <w:t>Citar: </w:t>
      </w:r>
      <w:r w:rsidRPr="00924BBD">
        <w:rPr>
          <w:rFonts w:ascii="Arial" w:hAnsi="Arial" w:cs="Arial"/>
          <w:color w:val="004276"/>
          <w:sz w:val="18"/>
          <w:lang w:eastAsia="es-ES"/>
        </w:rPr>
        <w:t>elDial.com - AAAC01</w:t>
      </w:r>
      <w:r w:rsidRPr="00924BBD">
        <w:rPr>
          <w:rFonts w:ascii="Arial" w:hAnsi="Arial" w:cs="Arial"/>
          <w:color w:val="333333"/>
          <w:sz w:val="18"/>
          <w:lang w:eastAsia="es-ES"/>
        </w:rPr>
        <w:t> </w:t>
      </w:r>
      <w:r w:rsidRPr="00924BBD">
        <w:rPr>
          <w:rFonts w:ascii="Arial" w:hAnsi="Arial" w:cs="Arial"/>
          <w:color w:val="333333"/>
          <w:sz w:val="18"/>
          <w:szCs w:val="18"/>
          <w:lang w:eastAsia="es-ES"/>
        </w:rPr>
        <w:br/>
      </w:r>
      <w:r w:rsidRPr="00924BBD">
        <w:rPr>
          <w:rFonts w:ascii="Arial" w:hAnsi="Arial" w:cs="Arial"/>
          <w:color w:val="333333"/>
          <w:sz w:val="18"/>
          <w:szCs w:val="18"/>
          <w:lang w:eastAsia="es-ES"/>
        </w:rPr>
        <w:br/>
      </w:r>
      <w:r w:rsidRPr="00924BBD">
        <w:rPr>
          <w:rFonts w:ascii="Arial" w:hAnsi="Arial" w:cs="Arial"/>
          <w:color w:val="333333"/>
          <w:sz w:val="18"/>
          <w:lang w:eastAsia="es-ES"/>
        </w:rPr>
        <w:t>Publicado el 02/10/2018 </w:t>
      </w:r>
    </w:p>
    <w:p w:rsidR="00436C1B" w:rsidRDefault="00436C1B"/>
    <w:sectPr w:rsidR="00436C1B" w:rsidSect="00E31E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BBD"/>
    <w:rsid w:val="00436C1B"/>
    <w:rsid w:val="00665204"/>
    <w:rsid w:val="00924BBD"/>
    <w:rsid w:val="00E31E4A"/>
    <w:rsid w:val="00F020DE"/>
    <w:rsid w:val="00F60E0E"/>
    <w:rsid w:val="00FF7F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4A"/>
    <w:pPr>
      <w:spacing w:after="200" w:line="276" w:lineRule="auto"/>
    </w:pPr>
    <w:rPr>
      <w:lang w:val="es-ES" w:eastAsia="en-US"/>
    </w:rPr>
  </w:style>
  <w:style w:type="paragraph" w:styleId="Heading3">
    <w:name w:val="heading 3"/>
    <w:basedOn w:val="Normal"/>
    <w:link w:val="Heading3Char"/>
    <w:uiPriority w:val="99"/>
    <w:qFormat/>
    <w:rsid w:val="00924BBD"/>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24BBD"/>
    <w:rPr>
      <w:rFonts w:ascii="Times New Roman" w:hAnsi="Times New Roman" w:cs="Times New Roman"/>
      <w:b/>
      <w:bCs/>
      <w:sz w:val="27"/>
      <w:szCs w:val="27"/>
      <w:lang w:eastAsia="es-ES"/>
    </w:rPr>
  </w:style>
  <w:style w:type="paragraph" w:styleId="NormalWeb">
    <w:name w:val="Normal (Web)"/>
    <w:basedOn w:val="Normal"/>
    <w:uiPriority w:val="99"/>
    <w:semiHidden/>
    <w:rsid w:val="00924BB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umario">
    <w:name w:val="sumario"/>
    <w:basedOn w:val="DefaultParagraphFont"/>
    <w:uiPriority w:val="99"/>
    <w:rsid w:val="00924BBD"/>
    <w:rPr>
      <w:rFonts w:cs="Times New Roman"/>
    </w:rPr>
  </w:style>
</w:styles>
</file>

<file path=word/webSettings.xml><?xml version="1.0" encoding="utf-8"?>
<w:webSettings xmlns:r="http://schemas.openxmlformats.org/officeDocument/2006/relationships" xmlns:w="http://schemas.openxmlformats.org/wordprocessingml/2006/main">
  <w:divs>
    <w:div w:id="1838879451">
      <w:marLeft w:val="0"/>
      <w:marRight w:val="0"/>
      <w:marTop w:val="0"/>
      <w:marBottom w:val="0"/>
      <w:divBdr>
        <w:top w:val="none" w:sz="0" w:space="0" w:color="auto"/>
        <w:left w:val="none" w:sz="0" w:space="0" w:color="auto"/>
        <w:bottom w:val="none" w:sz="0" w:space="0" w:color="auto"/>
        <w:right w:val="none" w:sz="0" w:space="0" w:color="auto"/>
      </w:divBdr>
      <w:divsChild>
        <w:div w:id="18388794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819</Words>
  <Characters>4506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magistrados del máximo tribunal del país, por mayoría, consideran que el adicional de pago único previsto en el artículo 3° de la Ley 26773 se aplica a los infortunios laborales, producidos u originados en el ámbito del establecimiento laboral y no a</dc:title>
  <dc:subject/>
  <dc:creator>User</dc:creator>
  <cp:keywords/>
  <dc:description/>
  <cp:lastModifiedBy>Susana</cp:lastModifiedBy>
  <cp:revision>2</cp:revision>
  <dcterms:created xsi:type="dcterms:W3CDTF">2018-10-22T18:43:00Z</dcterms:created>
  <dcterms:modified xsi:type="dcterms:W3CDTF">2018-10-22T18:43:00Z</dcterms:modified>
</cp:coreProperties>
</file>