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235" w:rsidRPr="00C0767F" w:rsidRDefault="001B3235">
      <w:pPr>
        <w:spacing w:line="360" w:lineRule="auto"/>
        <w:rPr>
          <w:rFonts w:ascii="Bookman Old Style" w:hAnsi="Bookman Old Style" w:cs="Arial"/>
        </w:rPr>
      </w:pPr>
      <w:bookmarkStart w:id="0" w:name="_GoBack"/>
      <w:bookmarkEnd w:id="0"/>
    </w:p>
    <w:p w:rsidR="001B3235" w:rsidRPr="00C0767F" w:rsidRDefault="001B3235">
      <w:pPr>
        <w:spacing w:line="360" w:lineRule="auto"/>
        <w:rPr>
          <w:rFonts w:ascii="Bookman Old Style" w:hAnsi="Bookman Old Style" w:cs="Arial"/>
        </w:rPr>
      </w:pPr>
    </w:p>
    <w:p w:rsidR="001B3235" w:rsidRPr="00C0767F" w:rsidRDefault="001B3235">
      <w:pPr>
        <w:spacing w:line="360" w:lineRule="auto"/>
        <w:rPr>
          <w:rFonts w:ascii="Bookman Old Style" w:hAnsi="Bookman Old Style" w:cs="Arial"/>
          <w:u w:val="single"/>
        </w:rPr>
      </w:pPr>
    </w:p>
    <w:p w:rsidR="001B3235" w:rsidRPr="00C0767F" w:rsidRDefault="00C0767F">
      <w:pPr>
        <w:spacing w:line="360" w:lineRule="auto"/>
        <w:rPr>
          <w:rFonts w:ascii="Bookman Old Style" w:hAnsi="Bookman Old Style" w:cs="Arial"/>
        </w:rPr>
      </w:pPr>
      <w:r>
        <w:rPr>
          <w:rFonts w:ascii="Bookman Old Style" w:hAnsi="Bookman Old Style" w:cs="Arial"/>
          <w:b/>
          <w:bCs/>
        </w:rPr>
        <w:t xml:space="preserve">    </w:t>
      </w:r>
      <w:r w:rsidR="002951F5" w:rsidRPr="00C0767F">
        <w:rPr>
          <w:rFonts w:ascii="Bookman Old Style" w:hAnsi="Bookman Old Style" w:cs="Arial"/>
          <w:b/>
          <w:bCs/>
        </w:rPr>
        <w:t xml:space="preserve"> </w:t>
      </w:r>
      <w:r w:rsidR="002951F5" w:rsidRPr="00C0767F">
        <w:rPr>
          <w:rFonts w:ascii="Bookman Old Style" w:hAnsi="Bookman Old Style" w:cs="Arial"/>
          <w:bCs/>
        </w:rPr>
        <w:t>Ciudad Autónoma de</w:t>
      </w:r>
      <w:r w:rsidR="002951F5" w:rsidRPr="00C0767F">
        <w:rPr>
          <w:rFonts w:ascii="Bookman Old Style" w:hAnsi="Bookman Old Style" w:cs="Arial"/>
          <w:b/>
          <w:bCs/>
        </w:rPr>
        <w:t xml:space="preserve"> </w:t>
      </w:r>
      <w:r w:rsidR="002951F5" w:rsidRPr="00C0767F">
        <w:rPr>
          <w:rFonts w:ascii="Bookman Old Style" w:hAnsi="Bookman Old Style" w:cs="Arial"/>
        </w:rPr>
        <w:t>Buenos Aire</w:t>
      </w:r>
      <w:r w:rsidR="008F49C4" w:rsidRPr="00C0767F">
        <w:rPr>
          <w:rFonts w:ascii="Bookman Old Style" w:hAnsi="Bookman Old Style" w:cs="Arial"/>
        </w:rPr>
        <w:t>s</w:t>
      </w:r>
      <w:r w:rsidR="00051864">
        <w:rPr>
          <w:rFonts w:ascii="Bookman Old Style" w:hAnsi="Bookman Old Style" w:cs="Arial"/>
        </w:rPr>
        <w:t xml:space="preserve">, </w:t>
      </w:r>
      <w:r w:rsidR="00C902A9">
        <w:rPr>
          <w:rFonts w:ascii="Bookman Old Style" w:hAnsi="Bookman Old Style" w:cs="Arial"/>
        </w:rPr>
        <w:t xml:space="preserve">    </w:t>
      </w:r>
      <w:r w:rsidR="00C50EE5">
        <w:rPr>
          <w:rFonts w:ascii="Bookman Old Style" w:hAnsi="Bookman Old Style" w:cs="Arial"/>
        </w:rPr>
        <w:t>09</w:t>
      </w:r>
      <w:r w:rsidR="002951F5" w:rsidRPr="00C0767F">
        <w:rPr>
          <w:rFonts w:ascii="Bookman Old Style" w:hAnsi="Bookman Old Style" w:cs="Arial"/>
        </w:rPr>
        <w:t xml:space="preserve">  de </w:t>
      </w:r>
      <w:r w:rsidR="00C902A9">
        <w:rPr>
          <w:rFonts w:ascii="Bookman Old Style" w:hAnsi="Bookman Old Style" w:cs="Arial"/>
        </w:rPr>
        <w:t xml:space="preserve">Diciembre </w:t>
      </w:r>
      <w:r w:rsidR="005772C3">
        <w:rPr>
          <w:rFonts w:ascii="Bookman Old Style" w:hAnsi="Bookman Old Style" w:cs="Arial"/>
        </w:rPr>
        <w:t xml:space="preserve"> </w:t>
      </w:r>
      <w:r w:rsidR="00051864">
        <w:rPr>
          <w:rFonts w:ascii="Bookman Old Style" w:hAnsi="Bookman Old Style" w:cs="Arial"/>
        </w:rPr>
        <w:t xml:space="preserve"> </w:t>
      </w:r>
      <w:r w:rsidR="002951F5" w:rsidRPr="00C0767F">
        <w:rPr>
          <w:rFonts w:ascii="Bookman Old Style" w:hAnsi="Bookman Old Style" w:cs="Arial"/>
        </w:rPr>
        <w:t xml:space="preserve"> de 2</w:t>
      </w:r>
      <w:r w:rsidR="008F49C4" w:rsidRPr="00C0767F">
        <w:rPr>
          <w:rFonts w:ascii="Bookman Old Style" w:hAnsi="Bookman Old Style" w:cs="Arial"/>
        </w:rPr>
        <w:t>.</w:t>
      </w:r>
      <w:r w:rsidR="002951F5" w:rsidRPr="00C0767F">
        <w:rPr>
          <w:rFonts w:ascii="Bookman Old Style" w:hAnsi="Bookman Old Style" w:cs="Arial"/>
        </w:rPr>
        <w:t>020</w:t>
      </w:r>
    </w:p>
    <w:p w:rsidR="0044665C" w:rsidRPr="00C0767F" w:rsidRDefault="0044665C">
      <w:pPr>
        <w:spacing w:line="360" w:lineRule="auto"/>
        <w:rPr>
          <w:rFonts w:ascii="Bookman Old Style" w:hAnsi="Bookman Old Style" w:cs="Arial"/>
          <w:b/>
          <w:bCs/>
        </w:rPr>
      </w:pPr>
    </w:p>
    <w:p w:rsidR="001B3235" w:rsidRPr="00C0767F" w:rsidRDefault="00D24D86">
      <w:pPr>
        <w:spacing w:line="360" w:lineRule="auto"/>
        <w:rPr>
          <w:rFonts w:ascii="Bookman Old Style" w:hAnsi="Bookman Old Style" w:cs="Arial"/>
          <w:b/>
          <w:bCs/>
        </w:rPr>
      </w:pPr>
      <w:r w:rsidRPr="00C0767F">
        <w:rPr>
          <w:rFonts w:ascii="Bookman Old Style" w:hAnsi="Bookman Old Style" w:cs="Arial"/>
          <w:b/>
          <w:bCs/>
        </w:rPr>
        <w:t xml:space="preserve">Asociación Internacional de Derecho de </w:t>
      </w:r>
    </w:p>
    <w:p w:rsidR="001B3235" w:rsidRPr="00C0767F" w:rsidRDefault="00D24D86">
      <w:pPr>
        <w:spacing w:line="360" w:lineRule="auto"/>
        <w:rPr>
          <w:rFonts w:ascii="Bookman Old Style" w:hAnsi="Bookman Old Style" w:cs="Arial"/>
          <w:b/>
          <w:bCs/>
        </w:rPr>
      </w:pPr>
      <w:r w:rsidRPr="00C0767F">
        <w:rPr>
          <w:rFonts w:ascii="Bookman Old Style" w:hAnsi="Bookman Old Style" w:cs="Arial"/>
          <w:b/>
          <w:bCs/>
        </w:rPr>
        <w:t>Seguros – Rama Argentina</w:t>
      </w:r>
    </w:p>
    <w:p w:rsidR="001B3235" w:rsidRPr="00C0767F" w:rsidRDefault="007D402A">
      <w:pPr>
        <w:spacing w:line="360" w:lineRule="auto"/>
        <w:rPr>
          <w:rFonts w:ascii="Bookman Old Style" w:hAnsi="Bookman Old Style" w:cs="Arial"/>
          <w:b/>
          <w:bCs/>
        </w:rPr>
      </w:pPr>
      <w:r w:rsidRPr="00C0767F">
        <w:rPr>
          <w:rFonts w:ascii="Bookman Old Style" w:hAnsi="Bookman Old Style" w:cs="Arial"/>
          <w:b/>
          <w:bCs/>
        </w:rPr>
        <w:t xml:space="preserve">At. </w:t>
      </w:r>
      <w:r w:rsidR="00D24D86" w:rsidRPr="00C0767F">
        <w:rPr>
          <w:rFonts w:ascii="Bookman Old Style" w:hAnsi="Bookman Old Style" w:cs="Arial"/>
          <w:b/>
          <w:bCs/>
        </w:rPr>
        <w:t>Dra.  María Fabiana  Compiani</w:t>
      </w:r>
    </w:p>
    <w:p w:rsidR="001B3235" w:rsidRPr="00C0767F" w:rsidRDefault="00D24D86">
      <w:pPr>
        <w:spacing w:line="360" w:lineRule="auto"/>
        <w:rPr>
          <w:rFonts w:ascii="Bookman Old Style" w:hAnsi="Bookman Old Style" w:cs="Arial"/>
          <w:u w:val="single"/>
        </w:rPr>
      </w:pPr>
      <w:r w:rsidRPr="00C0767F">
        <w:rPr>
          <w:rFonts w:ascii="Bookman Old Style" w:hAnsi="Bookman Old Style" w:cs="Arial"/>
          <w:u w:val="single"/>
        </w:rPr>
        <w:t xml:space="preserve">S               </w:t>
      </w:r>
      <w:r w:rsidRPr="00C0767F">
        <w:rPr>
          <w:rFonts w:ascii="Bookman Old Style" w:hAnsi="Bookman Old Style" w:cs="Arial"/>
          <w:u w:val="single"/>
        </w:rPr>
        <w:tab/>
      </w:r>
      <w:r w:rsidRPr="00C0767F">
        <w:rPr>
          <w:rFonts w:ascii="Bookman Old Style" w:hAnsi="Bookman Old Style" w:cs="Arial"/>
          <w:u w:val="single"/>
        </w:rPr>
        <w:tab/>
        <w:t>/                                  D</w:t>
      </w:r>
    </w:p>
    <w:p w:rsidR="001B3235" w:rsidRPr="00C0767F" w:rsidRDefault="001B3235">
      <w:pPr>
        <w:spacing w:line="360" w:lineRule="auto"/>
        <w:rPr>
          <w:rFonts w:ascii="Bookman Old Style" w:hAnsi="Bookman Old Style" w:cs="Arial"/>
          <w:u w:val="single"/>
        </w:rPr>
      </w:pPr>
    </w:p>
    <w:p w:rsidR="006F5978" w:rsidRPr="006F5978" w:rsidRDefault="00D24D86">
      <w:pPr>
        <w:jc w:val="both"/>
        <w:rPr>
          <w:rFonts w:ascii="Bookman Old Style" w:hAnsi="Bookman Old Style" w:cs="Arial"/>
          <w:b/>
        </w:rPr>
      </w:pPr>
      <w:r w:rsidRPr="00C0767F">
        <w:rPr>
          <w:rFonts w:ascii="Bookman Old Style" w:hAnsi="Bookman Old Style" w:cs="Arial"/>
        </w:rPr>
        <w:t>Ref</w:t>
      </w:r>
      <w:r w:rsidRPr="006F5978">
        <w:rPr>
          <w:rFonts w:ascii="Bookman Old Style" w:hAnsi="Bookman Old Style" w:cs="Arial"/>
          <w:b/>
        </w:rPr>
        <w:t xml:space="preserve">: </w:t>
      </w:r>
      <w:r w:rsidR="006F5978">
        <w:rPr>
          <w:rFonts w:ascii="Bookman Old Style" w:hAnsi="Bookman Old Style" w:cs="Arial"/>
          <w:b/>
        </w:rPr>
        <w:t xml:space="preserve"> </w:t>
      </w:r>
      <w:r w:rsidRPr="006F5978">
        <w:rPr>
          <w:rFonts w:ascii="Bookman Old Style" w:hAnsi="Bookman Old Style" w:cs="Arial"/>
          <w:b/>
        </w:rPr>
        <w:t>Grupo de Trabajo Supervisión</w:t>
      </w:r>
      <w:r w:rsidR="0044665C" w:rsidRPr="006F5978">
        <w:rPr>
          <w:rFonts w:ascii="Bookman Old Style" w:hAnsi="Bookman Old Style" w:cs="Arial"/>
          <w:b/>
        </w:rPr>
        <w:t xml:space="preserve"> </w:t>
      </w:r>
      <w:r w:rsidRPr="006F5978">
        <w:rPr>
          <w:rFonts w:ascii="Bookman Old Style" w:hAnsi="Bookman Old Style" w:cs="Arial"/>
          <w:b/>
        </w:rPr>
        <w:t>- “</w:t>
      </w:r>
      <w:r w:rsidR="006F5978" w:rsidRPr="006F5978">
        <w:rPr>
          <w:rFonts w:ascii="Bookman Old Style" w:hAnsi="Bookman Old Style" w:cs="Arial"/>
          <w:b/>
        </w:rPr>
        <w:t>Traba de Embargos</w:t>
      </w:r>
      <w:r w:rsidR="000328F3">
        <w:rPr>
          <w:rFonts w:ascii="Bookman Old Style" w:hAnsi="Bookman Old Style" w:cs="Arial"/>
          <w:b/>
        </w:rPr>
        <w:t xml:space="preserve"> Preventivos </w:t>
      </w:r>
      <w:r w:rsidR="006F5978" w:rsidRPr="006F5978">
        <w:rPr>
          <w:rFonts w:ascii="Bookman Old Style" w:hAnsi="Bookman Old Style" w:cs="Arial"/>
          <w:b/>
        </w:rPr>
        <w:t xml:space="preserve"> en cuentas </w:t>
      </w:r>
      <w:r w:rsidR="000328F3">
        <w:rPr>
          <w:rFonts w:ascii="Bookman Old Style" w:hAnsi="Bookman Old Style" w:cs="Arial"/>
          <w:b/>
        </w:rPr>
        <w:t xml:space="preserve">bancarias </w:t>
      </w:r>
      <w:r w:rsidR="006F5978" w:rsidRPr="006F5978">
        <w:rPr>
          <w:rFonts w:ascii="Bookman Old Style" w:hAnsi="Bookman Old Style" w:cs="Arial"/>
          <w:b/>
        </w:rPr>
        <w:t>de Aseguradoras”</w:t>
      </w:r>
    </w:p>
    <w:p w:rsidR="006F5978" w:rsidRPr="006F5978" w:rsidRDefault="006F5978">
      <w:pPr>
        <w:jc w:val="both"/>
        <w:rPr>
          <w:rFonts w:ascii="Bookman Old Style" w:hAnsi="Bookman Old Style" w:cs="Arial"/>
          <w:b/>
        </w:rPr>
      </w:pPr>
    </w:p>
    <w:p w:rsidR="001B3235" w:rsidRPr="00C0767F" w:rsidRDefault="00D24D86">
      <w:pPr>
        <w:spacing w:line="360" w:lineRule="auto"/>
        <w:rPr>
          <w:rFonts w:ascii="Bookman Old Style" w:hAnsi="Bookman Old Style" w:cs="Arial"/>
        </w:rPr>
      </w:pPr>
      <w:r w:rsidRPr="00C0767F">
        <w:rPr>
          <w:rFonts w:ascii="Bookman Old Style" w:hAnsi="Bookman Old Style" w:cs="Arial"/>
        </w:rPr>
        <w:tab/>
      </w:r>
      <w:r w:rsidRPr="00C0767F">
        <w:rPr>
          <w:rFonts w:ascii="Bookman Old Style" w:hAnsi="Bookman Old Style" w:cs="Arial"/>
        </w:rPr>
        <w:tab/>
      </w:r>
      <w:r w:rsidRPr="00C0767F">
        <w:rPr>
          <w:rFonts w:ascii="Bookman Old Style" w:hAnsi="Bookman Old Style" w:cs="Arial"/>
        </w:rPr>
        <w:tab/>
      </w:r>
      <w:r w:rsidRPr="00C0767F">
        <w:rPr>
          <w:rFonts w:ascii="Bookman Old Style" w:hAnsi="Bookman Old Style" w:cs="Arial"/>
        </w:rPr>
        <w:tab/>
      </w:r>
    </w:p>
    <w:p w:rsidR="001B3235" w:rsidRPr="00C0767F" w:rsidRDefault="00D24D86">
      <w:pPr>
        <w:spacing w:line="360" w:lineRule="auto"/>
        <w:jc w:val="both"/>
        <w:rPr>
          <w:rFonts w:ascii="Bookman Old Style" w:hAnsi="Bookman Old Style" w:cs="Arial"/>
        </w:rPr>
      </w:pPr>
      <w:r w:rsidRPr="00C0767F">
        <w:rPr>
          <w:rFonts w:ascii="Bookman Old Style" w:hAnsi="Bookman Old Style" w:cs="Arial"/>
        </w:rPr>
        <w:t>De nuestra consideración:</w:t>
      </w:r>
    </w:p>
    <w:p w:rsidR="001B3235" w:rsidRPr="00C0767F" w:rsidRDefault="001B3235">
      <w:pPr>
        <w:spacing w:line="360" w:lineRule="auto"/>
        <w:jc w:val="both"/>
        <w:rPr>
          <w:rFonts w:ascii="Bookman Old Style" w:hAnsi="Bookman Old Style" w:cs="Arial"/>
        </w:rPr>
      </w:pPr>
    </w:p>
    <w:p w:rsidR="001B3235" w:rsidRPr="00C0767F" w:rsidRDefault="00D24D86">
      <w:pPr>
        <w:spacing w:line="360" w:lineRule="auto"/>
        <w:jc w:val="both"/>
        <w:rPr>
          <w:rFonts w:ascii="Bookman Old Style" w:hAnsi="Bookman Old Style" w:cs="Arial"/>
        </w:rPr>
      </w:pPr>
      <w:r w:rsidRPr="00C0767F">
        <w:rPr>
          <w:rFonts w:ascii="Bookman Old Style" w:hAnsi="Bookman Old Style" w:cs="Arial"/>
        </w:rPr>
        <w:tab/>
      </w:r>
      <w:r w:rsidRPr="00C0767F">
        <w:rPr>
          <w:rFonts w:ascii="Bookman Old Style" w:hAnsi="Bookman Old Style" w:cs="Arial"/>
        </w:rPr>
        <w:tab/>
      </w:r>
      <w:r w:rsidRPr="00C0767F">
        <w:rPr>
          <w:rFonts w:ascii="Bookman Old Style" w:hAnsi="Bookman Old Style" w:cs="Arial"/>
        </w:rPr>
        <w:tab/>
        <w:t xml:space="preserve">Por la presente informamos aspectos analizados en la operatoria de </w:t>
      </w:r>
      <w:r w:rsidR="00D17440">
        <w:rPr>
          <w:rFonts w:ascii="Bookman Old Style" w:hAnsi="Bookman Old Style" w:cs="Arial"/>
        </w:rPr>
        <w:t xml:space="preserve">la traba de </w:t>
      </w:r>
      <w:r w:rsidR="004240CC">
        <w:rPr>
          <w:rFonts w:ascii="Bookman Old Style" w:hAnsi="Bookman Old Style" w:cs="Arial"/>
        </w:rPr>
        <w:t>E</w:t>
      </w:r>
      <w:r w:rsidR="00D17440">
        <w:rPr>
          <w:rFonts w:ascii="Bookman Old Style" w:hAnsi="Bookman Old Style" w:cs="Arial"/>
        </w:rPr>
        <w:t xml:space="preserve">mbargos </w:t>
      </w:r>
      <w:r w:rsidR="004240CC">
        <w:rPr>
          <w:rFonts w:ascii="Bookman Old Style" w:hAnsi="Bookman Old Style" w:cs="Arial"/>
        </w:rPr>
        <w:t xml:space="preserve">Preventivos </w:t>
      </w:r>
      <w:r w:rsidR="00D17440">
        <w:rPr>
          <w:rFonts w:ascii="Bookman Old Style" w:hAnsi="Bookman Old Style" w:cs="Arial"/>
        </w:rPr>
        <w:t xml:space="preserve">en cuentas </w:t>
      </w:r>
      <w:r w:rsidR="000328F3">
        <w:rPr>
          <w:rFonts w:ascii="Bookman Old Style" w:hAnsi="Bookman Old Style" w:cs="Arial"/>
        </w:rPr>
        <w:t xml:space="preserve">bancarias </w:t>
      </w:r>
      <w:r w:rsidR="00D17440">
        <w:rPr>
          <w:rFonts w:ascii="Bookman Old Style" w:hAnsi="Bookman Old Style" w:cs="Arial"/>
        </w:rPr>
        <w:t xml:space="preserve">de </w:t>
      </w:r>
      <w:r w:rsidR="000328F3">
        <w:rPr>
          <w:rFonts w:ascii="Bookman Old Style" w:hAnsi="Bookman Old Style" w:cs="Arial"/>
        </w:rPr>
        <w:t xml:space="preserve">titularidad de </w:t>
      </w:r>
      <w:r w:rsidR="00D17440">
        <w:rPr>
          <w:rFonts w:ascii="Bookman Old Style" w:hAnsi="Bookman Old Style" w:cs="Arial"/>
        </w:rPr>
        <w:t>Aseguradoras, su procedencia, su aplicación, su registración y su problemática</w:t>
      </w:r>
      <w:r w:rsidRPr="00C0767F">
        <w:rPr>
          <w:rFonts w:ascii="Bookman Old Style" w:hAnsi="Bookman Old Style" w:cs="Arial"/>
        </w:rPr>
        <w:t>.</w:t>
      </w:r>
    </w:p>
    <w:p w:rsidR="00D17440" w:rsidRDefault="00D24D86">
      <w:pPr>
        <w:spacing w:line="360" w:lineRule="auto"/>
        <w:jc w:val="both"/>
        <w:rPr>
          <w:rFonts w:ascii="Bookman Old Style" w:hAnsi="Bookman Old Style" w:cs="Arial"/>
        </w:rPr>
      </w:pPr>
      <w:r w:rsidRPr="00C0767F">
        <w:rPr>
          <w:rFonts w:ascii="Bookman Old Style" w:hAnsi="Bookman Old Style" w:cs="Arial"/>
        </w:rPr>
        <w:tab/>
      </w:r>
      <w:r w:rsidRPr="00C0767F">
        <w:rPr>
          <w:rFonts w:ascii="Bookman Old Style" w:hAnsi="Bookman Old Style" w:cs="Arial"/>
        </w:rPr>
        <w:tab/>
      </w:r>
      <w:r w:rsidRPr="00C0767F">
        <w:rPr>
          <w:rFonts w:ascii="Bookman Old Style" w:hAnsi="Bookman Old Style" w:cs="Arial"/>
        </w:rPr>
        <w:tab/>
      </w:r>
    </w:p>
    <w:p w:rsidR="00D17440" w:rsidRDefault="00D17440" w:rsidP="00D17440">
      <w:pPr>
        <w:spacing w:line="360" w:lineRule="auto"/>
        <w:ind w:left="1416" w:firstLine="708"/>
        <w:jc w:val="both"/>
        <w:rPr>
          <w:rFonts w:ascii="Bookman Old Style" w:hAnsi="Bookman Old Style" w:cs="Arial"/>
        </w:rPr>
      </w:pPr>
      <w:r>
        <w:rPr>
          <w:rFonts w:ascii="Bookman Old Style" w:hAnsi="Bookman Old Style" w:cs="Arial"/>
        </w:rPr>
        <w:t>El análisis lo hemos abordado en torno a la siguiente normativa vigente:</w:t>
      </w:r>
    </w:p>
    <w:p w:rsidR="001B70A4" w:rsidRDefault="001B70A4" w:rsidP="00D17440">
      <w:pPr>
        <w:spacing w:line="360" w:lineRule="auto"/>
        <w:ind w:left="1416" w:firstLine="708"/>
        <w:jc w:val="both"/>
        <w:rPr>
          <w:rFonts w:ascii="Bookman Old Style" w:hAnsi="Bookman Old Style" w:cs="Arial"/>
        </w:rPr>
      </w:pPr>
    </w:p>
    <w:p w:rsidR="00D17440" w:rsidRDefault="00D17440">
      <w:pPr>
        <w:spacing w:line="360" w:lineRule="auto"/>
        <w:jc w:val="both"/>
        <w:rPr>
          <w:rFonts w:ascii="Bookman Old Style" w:hAnsi="Bookman Old Style" w:cs="Arial"/>
        </w:rPr>
      </w:pPr>
      <w:r>
        <w:rPr>
          <w:rFonts w:ascii="Bookman Old Style" w:hAnsi="Bookman Old Style" w:cs="Arial"/>
        </w:rPr>
        <w:t xml:space="preserve">a.- </w:t>
      </w:r>
      <w:r w:rsidRPr="00D17440">
        <w:rPr>
          <w:rFonts w:ascii="Bookman Old Style" w:hAnsi="Bookman Old Style" w:cs="Arial"/>
          <w:u w:val="single"/>
        </w:rPr>
        <w:t>Resolución SSN 31773/2007</w:t>
      </w:r>
      <w:r>
        <w:rPr>
          <w:rFonts w:ascii="Bookman Old Style" w:hAnsi="Bookman Old Style" w:cs="Arial"/>
        </w:rPr>
        <w:t xml:space="preserve"> que faculta a las compañías a abrir cuenta bancaria en el Banco de la Nación Argentina exclusivamente para atender embargos dispuestos por tribunales de todas las jurisdicciones</w:t>
      </w:r>
    </w:p>
    <w:p w:rsidR="00D17440" w:rsidRDefault="00D17440">
      <w:pPr>
        <w:spacing w:line="360" w:lineRule="auto"/>
        <w:jc w:val="both"/>
        <w:rPr>
          <w:rFonts w:ascii="Bookman Old Style" w:hAnsi="Bookman Old Style" w:cs="Arial"/>
        </w:rPr>
      </w:pPr>
      <w:r>
        <w:rPr>
          <w:rFonts w:ascii="Bookman Old Style" w:hAnsi="Bookman Old Style" w:cs="Arial"/>
        </w:rPr>
        <w:t xml:space="preserve">b.- </w:t>
      </w:r>
      <w:r w:rsidRPr="00D17440">
        <w:rPr>
          <w:rFonts w:ascii="Bookman Old Style" w:hAnsi="Bookman Old Style" w:cs="Arial"/>
          <w:u w:val="single"/>
        </w:rPr>
        <w:t>Reglamento General de la Actividad Aseguradora en su ítem  39.1.2.8</w:t>
      </w:r>
      <w:r w:rsidR="00D24D86" w:rsidRPr="00C0767F">
        <w:rPr>
          <w:rFonts w:ascii="Bookman Old Style" w:hAnsi="Bookman Old Style" w:cs="Arial"/>
        </w:rPr>
        <w:t xml:space="preserve"> </w:t>
      </w:r>
      <w:r>
        <w:rPr>
          <w:rFonts w:ascii="Bookman Old Style" w:hAnsi="Bookman Old Style" w:cs="Arial"/>
        </w:rPr>
        <w:t>que regula la exposición y valuación de embargos y pasivos asociados y la cuenta contable créditos por embargos.</w:t>
      </w:r>
    </w:p>
    <w:p w:rsidR="0000693F" w:rsidRPr="00452F0D" w:rsidRDefault="0000693F">
      <w:pPr>
        <w:spacing w:line="360" w:lineRule="auto"/>
        <w:jc w:val="both"/>
        <w:rPr>
          <w:rFonts w:ascii="Bookman Old Style" w:hAnsi="Bookman Old Style" w:cs="Arial"/>
        </w:rPr>
      </w:pPr>
      <w:r>
        <w:rPr>
          <w:rFonts w:ascii="Bookman Old Style" w:hAnsi="Bookman Old Style" w:cs="Arial"/>
        </w:rPr>
        <w:t xml:space="preserve">c.- Normas de los códigos procesales civiles y comerciales que condicionan su procedencia a la configuración de supuestos tales como  </w:t>
      </w:r>
      <w:r>
        <w:rPr>
          <w:rFonts w:ascii="Arial" w:hAnsi="Arial" w:cs="Arial"/>
          <w:color w:val="202124"/>
          <w:shd w:val="clear" w:color="auto" w:fill="FFFFFF"/>
        </w:rPr>
        <w:t xml:space="preserve"> </w:t>
      </w:r>
      <w:r w:rsidRPr="00452F0D">
        <w:rPr>
          <w:rFonts w:ascii="Bookman Old Style" w:hAnsi="Bookman Old Style" w:cs="Arial"/>
          <w:color w:val="202124"/>
          <w:shd w:val="clear" w:color="auto" w:fill="FFFFFF"/>
        </w:rPr>
        <w:t xml:space="preserve">1) La existencia de Fumus Boni Iuris, 2) el Periculum in Mora, y 3) el otorgamiento de Caución. </w:t>
      </w:r>
    </w:p>
    <w:p w:rsidR="00D17440" w:rsidRDefault="00D17440">
      <w:pPr>
        <w:spacing w:line="360" w:lineRule="auto"/>
        <w:jc w:val="both"/>
        <w:rPr>
          <w:rFonts w:ascii="Bookman Old Style" w:hAnsi="Bookman Old Style" w:cs="Arial"/>
        </w:rPr>
      </w:pPr>
    </w:p>
    <w:p w:rsidR="0000693F" w:rsidRDefault="0000693F">
      <w:pPr>
        <w:spacing w:line="360" w:lineRule="auto"/>
        <w:jc w:val="both"/>
        <w:rPr>
          <w:rFonts w:ascii="Bookman Old Style" w:hAnsi="Bookman Old Style" w:cs="Arial"/>
        </w:rPr>
      </w:pPr>
    </w:p>
    <w:p w:rsidR="00DE0BE0" w:rsidRDefault="00D17440">
      <w:pPr>
        <w:spacing w:line="360" w:lineRule="auto"/>
        <w:jc w:val="both"/>
        <w:rPr>
          <w:rFonts w:ascii="Bookman Old Style" w:hAnsi="Bookman Old Style" w:cs="Arial"/>
        </w:rPr>
      </w:pPr>
      <w:r>
        <w:rPr>
          <w:rFonts w:ascii="Bookman Old Style" w:hAnsi="Bookman Old Style" w:cs="Arial"/>
        </w:rPr>
        <w:t xml:space="preserve">La problemática que se plantea en el Mercado Asegurador </w:t>
      </w:r>
      <w:r w:rsidR="00DE0BE0">
        <w:rPr>
          <w:rFonts w:ascii="Bookman Old Style" w:hAnsi="Bookman Old Style" w:cs="Arial"/>
        </w:rPr>
        <w:t>puede resumirse en los siguientes aspectos:</w:t>
      </w:r>
    </w:p>
    <w:p w:rsidR="00DE0BE0" w:rsidRDefault="00DE0BE0" w:rsidP="00DE0BE0">
      <w:pPr>
        <w:pStyle w:val="Prrafodelista"/>
        <w:numPr>
          <w:ilvl w:val="0"/>
          <w:numId w:val="12"/>
        </w:numPr>
        <w:spacing w:line="360" w:lineRule="auto"/>
        <w:jc w:val="both"/>
        <w:rPr>
          <w:rFonts w:ascii="Bookman Old Style" w:hAnsi="Bookman Old Style" w:cs="Arial"/>
        </w:rPr>
      </w:pPr>
      <w:r>
        <w:rPr>
          <w:rFonts w:ascii="Bookman Old Style" w:hAnsi="Bookman Old Style" w:cs="Arial"/>
        </w:rPr>
        <w:t xml:space="preserve">La </w:t>
      </w:r>
      <w:r w:rsidR="00D17440" w:rsidRPr="00DE0BE0">
        <w:rPr>
          <w:rFonts w:ascii="Bookman Old Style" w:hAnsi="Bookman Old Style" w:cs="Arial"/>
        </w:rPr>
        <w:t xml:space="preserve">traba de </w:t>
      </w:r>
      <w:r w:rsidR="004240CC">
        <w:rPr>
          <w:rFonts w:ascii="Bookman Old Style" w:hAnsi="Bookman Old Style" w:cs="Arial"/>
        </w:rPr>
        <w:t>E</w:t>
      </w:r>
      <w:r w:rsidR="00D17440" w:rsidRPr="00DE0BE0">
        <w:rPr>
          <w:rFonts w:ascii="Bookman Old Style" w:hAnsi="Bookman Old Style" w:cs="Arial"/>
        </w:rPr>
        <w:t xml:space="preserve">mbargos </w:t>
      </w:r>
      <w:r w:rsidR="00D17440" w:rsidRPr="004240CC">
        <w:rPr>
          <w:rFonts w:ascii="Bookman Old Style" w:hAnsi="Bookman Old Style" w:cs="Arial"/>
          <w:b/>
        </w:rPr>
        <w:t>preventivos</w:t>
      </w:r>
      <w:r w:rsidR="00D17440" w:rsidRPr="00DE0BE0">
        <w:rPr>
          <w:rFonts w:ascii="Bookman Old Style" w:hAnsi="Bookman Old Style" w:cs="Arial"/>
        </w:rPr>
        <w:t xml:space="preserve"> sin ningún tipo de contracautela</w:t>
      </w:r>
      <w:r w:rsidR="004240CC">
        <w:rPr>
          <w:rFonts w:ascii="Bookman Old Style" w:hAnsi="Bookman Old Style" w:cs="Arial"/>
        </w:rPr>
        <w:t xml:space="preserve"> y que refieren a siniestros en Juicios </w:t>
      </w:r>
      <w:r w:rsidR="00C1092D">
        <w:rPr>
          <w:rFonts w:ascii="Bookman Old Style" w:hAnsi="Bookman Old Style" w:cs="Arial"/>
        </w:rPr>
        <w:t>“</w:t>
      </w:r>
      <w:r w:rsidR="004240CC">
        <w:rPr>
          <w:rFonts w:ascii="Bookman Old Style" w:hAnsi="Bookman Old Style" w:cs="Arial"/>
        </w:rPr>
        <w:t>sin</w:t>
      </w:r>
      <w:r w:rsidR="00C1092D">
        <w:rPr>
          <w:rFonts w:ascii="Bookman Old Style" w:hAnsi="Bookman Old Style" w:cs="Arial"/>
        </w:rPr>
        <w:t xml:space="preserve">” </w:t>
      </w:r>
      <w:r w:rsidR="004240CC">
        <w:rPr>
          <w:rFonts w:ascii="Bookman Old Style" w:hAnsi="Bookman Old Style" w:cs="Arial"/>
        </w:rPr>
        <w:t xml:space="preserve"> sentencia firme. </w:t>
      </w:r>
    </w:p>
    <w:p w:rsidR="00DE0BE0" w:rsidRDefault="00DE0BE0" w:rsidP="00DE0BE0">
      <w:pPr>
        <w:pStyle w:val="Prrafodelista"/>
        <w:numPr>
          <w:ilvl w:val="0"/>
          <w:numId w:val="12"/>
        </w:numPr>
        <w:spacing w:line="360" w:lineRule="auto"/>
        <w:jc w:val="both"/>
        <w:rPr>
          <w:rFonts w:ascii="Bookman Old Style" w:hAnsi="Bookman Old Style" w:cs="Arial"/>
        </w:rPr>
      </w:pPr>
      <w:r>
        <w:rPr>
          <w:rFonts w:ascii="Bookman Old Style" w:hAnsi="Bookman Old Style" w:cs="Arial"/>
        </w:rPr>
        <w:t>Que no se configura</w:t>
      </w:r>
      <w:r w:rsidR="00D17440" w:rsidRPr="00DE0BE0">
        <w:rPr>
          <w:rFonts w:ascii="Bookman Old Style" w:hAnsi="Bookman Old Style" w:cs="Arial"/>
        </w:rPr>
        <w:t xml:space="preserve"> ningún extremo que a</w:t>
      </w:r>
      <w:r w:rsidR="00535015" w:rsidRPr="00DE0BE0">
        <w:rPr>
          <w:rFonts w:ascii="Bookman Old Style" w:hAnsi="Bookman Old Style" w:cs="Arial"/>
        </w:rPr>
        <w:t xml:space="preserve">credite el peligro en la demora </w:t>
      </w:r>
      <w:r>
        <w:rPr>
          <w:rFonts w:ascii="Bookman Old Style" w:hAnsi="Bookman Old Style" w:cs="Arial"/>
        </w:rPr>
        <w:t>pues las Aseguradoras cuentas con sus Estados contables en orden a la norma exigida por el regulador</w:t>
      </w:r>
    </w:p>
    <w:p w:rsidR="00D17440" w:rsidRDefault="00DE0BE0" w:rsidP="000B1A66">
      <w:pPr>
        <w:pStyle w:val="Prrafodelista"/>
        <w:numPr>
          <w:ilvl w:val="0"/>
          <w:numId w:val="12"/>
        </w:numPr>
        <w:spacing w:line="360" w:lineRule="auto"/>
        <w:jc w:val="both"/>
        <w:rPr>
          <w:rFonts w:ascii="Bookman Old Style" w:hAnsi="Bookman Old Style" w:cs="Arial"/>
        </w:rPr>
      </w:pPr>
      <w:r w:rsidRPr="00DE0BE0">
        <w:rPr>
          <w:rFonts w:ascii="Bookman Old Style" w:hAnsi="Bookman Old Style" w:cs="Arial"/>
        </w:rPr>
        <w:t>Que en sendas ocasiones esos Embargos Preventivos</w:t>
      </w:r>
      <w:r>
        <w:rPr>
          <w:rFonts w:ascii="Bookman Old Style" w:hAnsi="Bookman Old Style" w:cs="Arial"/>
        </w:rPr>
        <w:t xml:space="preserve"> </w:t>
      </w:r>
      <w:r w:rsidRPr="00DE0BE0">
        <w:rPr>
          <w:rFonts w:ascii="Bookman Old Style" w:hAnsi="Bookman Old Style" w:cs="Arial"/>
        </w:rPr>
        <w:t xml:space="preserve"> </w:t>
      </w:r>
      <w:r w:rsidR="00535015" w:rsidRPr="00DE0BE0">
        <w:rPr>
          <w:rFonts w:ascii="Bookman Old Style" w:hAnsi="Bookman Old Style" w:cs="Arial"/>
        </w:rPr>
        <w:t xml:space="preserve"> se traban vía Comunicación BCRA</w:t>
      </w:r>
      <w:r>
        <w:rPr>
          <w:rFonts w:ascii="Bookman Old Style" w:hAnsi="Bookman Old Style" w:cs="Arial"/>
        </w:rPr>
        <w:t xml:space="preserve">, impactando entonces </w:t>
      </w:r>
      <w:r w:rsidR="00535015" w:rsidRPr="00DE0BE0">
        <w:rPr>
          <w:rFonts w:ascii="Bookman Old Style" w:hAnsi="Bookman Old Style" w:cs="Arial"/>
        </w:rPr>
        <w:t xml:space="preserve">en todas las entidades bancarias lo que produce que el monto ordenado a embargar </w:t>
      </w:r>
      <w:r>
        <w:rPr>
          <w:rFonts w:ascii="Bookman Old Style" w:hAnsi="Bookman Old Style" w:cs="Arial"/>
        </w:rPr>
        <w:t>aumente geométricamente generando un grave daño en la operatoria normal de las Compañías.</w:t>
      </w:r>
    </w:p>
    <w:p w:rsidR="00DE0BE0" w:rsidRDefault="00DE0BE0" w:rsidP="000B1A66">
      <w:pPr>
        <w:pStyle w:val="Prrafodelista"/>
        <w:numPr>
          <w:ilvl w:val="0"/>
          <w:numId w:val="12"/>
        </w:numPr>
        <w:spacing w:line="360" w:lineRule="auto"/>
        <w:jc w:val="both"/>
        <w:rPr>
          <w:rFonts w:ascii="Bookman Old Style" w:hAnsi="Bookman Old Style" w:cs="Arial"/>
        </w:rPr>
      </w:pPr>
      <w:r>
        <w:rPr>
          <w:rFonts w:ascii="Bookman Old Style" w:hAnsi="Bookman Old Style" w:cs="Arial"/>
        </w:rPr>
        <w:t>Que el proceso para obtener la devolución de los montos embargados en “exceso” es tedioso y extenso temporalmente por cuanto las entidades bancarias responden por veces con harto retraso  la contestación de los oficios informando el monto trabado en cuentas, sucediendo lo mismo con la transferencia de los montos embargados a la cuenta judicial; de modo que hasta que el juez interviniente no cuenta con la debida acreditación de dicha traba de embargo en exceso “no” ordena la devolución. Ergo, en muchas ocasiones corren meses sin lograr esta devolución con el claro y evidente daño en la operatoria normal de la Aseguradora afectada.</w:t>
      </w:r>
    </w:p>
    <w:p w:rsidR="00DE0BE0" w:rsidRDefault="00DE0BE0" w:rsidP="000B1A66">
      <w:pPr>
        <w:pStyle w:val="Prrafodelista"/>
        <w:numPr>
          <w:ilvl w:val="0"/>
          <w:numId w:val="12"/>
        </w:numPr>
        <w:spacing w:line="360" w:lineRule="auto"/>
        <w:jc w:val="both"/>
        <w:rPr>
          <w:rFonts w:ascii="Bookman Old Style" w:hAnsi="Bookman Old Style" w:cs="Arial"/>
        </w:rPr>
      </w:pPr>
      <w:r>
        <w:rPr>
          <w:rFonts w:ascii="Bookman Old Style" w:hAnsi="Bookman Old Style" w:cs="Arial"/>
        </w:rPr>
        <w:t>Que dicha medida cautelar no beneficia en absoluto ni a los Asegurados ni a los actores (generalmente víctimas de accidente de tránsito) sino todo lo contrario</w:t>
      </w:r>
      <w:r w:rsidR="009A03B9">
        <w:rPr>
          <w:rFonts w:ascii="Bookman Old Style" w:hAnsi="Bookman Old Style" w:cs="Arial"/>
        </w:rPr>
        <w:t>. N</w:t>
      </w:r>
      <w:r>
        <w:rPr>
          <w:rFonts w:ascii="Bookman Old Style" w:hAnsi="Bookman Old Style" w:cs="Arial"/>
        </w:rPr>
        <w:t>ótese que al afectar la operatoria normal de la Aseguradora se pone a riesgo el cronograma de pagos a Asegurados, Terceros y Proveedores.</w:t>
      </w:r>
    </w:p>
    <w:p w:rsidR="00DE0BE0" w:rsidRDefault="00DE0BE0">
      <w:pPr>
        <w:spacing w:line="360" w:lineRule="auto"/>
        <w:jc w:val="both"/>
        <w:rPr>
          <w:rFonts w:ascii="Bookman Old Style" w:hAnsi="Bookman Old Style" w:cs="Arial"/>
        </w:rPr>
      </w:pPr>
    </w:p>
    <w:p w:rsidR="001B3235" w:rsidRDefault="00D24D86">
      <w:pPr>
        <w:spacing w:line="360" w:lineRule="auto"/>
        <w:jc w:val="both"/>
        <w:rPr>
          <w:rFonts w:ascii="Bookman Old Style" w:hAnsi="Bookman Old Style" w:cs="Arial"/>
        </w:rPr>
      </w:pPr>
      <w:r w:rsidRPr="00C0767F">
        <w:rPr>
          <w:rFonts w:ascii="Bookman Old Style" w:hAnsi="Bookman Old Style" w:cs="Arial"/>
        </w:rPr>
        <w:lastRenderedPageBreak/>
        <w:tab/>
      </w:r>
      <w:r w:rsidRPr="00C0767F">
        <w:rPr>
          <w:rFonts w:ascii="Bookman Old Style" w:hAnsi="Bookman Old Style" w:cs="Arial"/>
        </w:rPr>
        <w:tab/>
      </w:r>
      <w:r w:rsidR="009A03B9">
        <w:rPr>
          <w:rFonts w:ascii="Bookman Old Style" w:hAnsi="Bookman Old Style" w:cs="Arial"/>
        </w:rPr>
        <w:t xml:space="preserve">En virtud de lo expuesto en el antecedente, hemos generado una </w:t>
      </w:r>
      <w:r w:rsidR="004240CC">
        <w:rPr>
          <w:rFonts w:ascii="Bookman Old Style" w:hAnsi="Bookman Old Style" w:cs="Arial"/>
        </w:rPr>
        <w:t>“</w:t>
      </w:r>
      <w:r w:rsidR="009A03B9">
        <w:rPr>
          <w:rFonts w:ascii="Bookman Old Style" w:hAnsi="Bookman Old Style" w:cs="Arial"/>
        </w:rPr>
        <w:t>Propuesta</w:t>
      </w:r>
      <w:r w:rsidR="004240CC">
        <w:rPr>
          <w:rFonts w:ascii="Bookman Old Style" w:hAnsi="Bookman Old Style" w:cs="Arial"/>
        </w:rPr>
        <w:t>”</w:t>
      </w:r>
      <w:r w:rsidR="009A03B9">
        <w:rPr>
          <w:rFonts w:ascii="Bookman Old Style" w:hAnsi="Bookman Old Style" w:cs="Arial"/>
        </w:rPr>
        <w:t xml:space="preserve"> a elevar al regulador – </w:t>
      </w:r>
      <w:r w:rsidR="004240CC">
        <w:rPr>
          <w:rFonts w:ascii="Bookman Old Style" w:hAnsi="Bookman Old Style" w:cs="Arial"/>
        </w:rPr>
        <w:t xml:space="preserve">previa </w:t>
      </w:r>
      <w:r w:rsidR="009A03B9">
        <w:rPr>
          <w:rFonts w:ascii="Bookman Old Style" w:hAnsi="Bookman Old Style" w:cs="Arial"/>
        </w:rPr>
        <w:t>conformidad de la Comisión Directiva mediante, a saber:</w:t>
      </w:r>
    </w:p>
    <w:p w:rsidR="009A03B9" w:rsidRDefault="009A03B9">
      <w:pPr>
        <w:spacing w:line="360" w:lineRule="auto"/>
        <w:jc w:val="both"/>
        <w:rPr>
          <w:rFonts w:ascii="Bookman Old Style" w:hAnsi="Bookman Old Style" w:cs="Arial"/>
        </w:rPr>
      </w:pPr>
    </w:p>
    <w:p w:rsidR="009A03B9" w:rsidRDefault="009A03B9" w:rsidP="009A03B9">
      <w:pPr>
        <w:spacing w:line="360" w:lineRule="auto"/>
        <w:jc w:val="both"/>
        <w:rPr>
          <w:rFonts w:ascii="Bookman Old Style" w:hAnsi="Bookman Old Style" w:cs="Arial"/>
        </w:rPr>
      </w:pPr>
      <w:r>
        <w:rPr>
          <w:rFonts w:ascii="Bookman Old Style" w:hAnsi="Bookman Old Style" w:cs="Arial"/>
        </w:rPr>
        <w:t xml:space="preserve">1.- </w:t>
      </w:r>
      <w:r w:rsidRPr="009A03B9">
        <w:rPr>
          <w:rFonts w:ascii="Bookman Old Style" w:hAnsi="Bookman Old Style" w:cs="Arial"/>
        </w:rPr>
        <w:t xml:space="preserve">Que la SSN provea a los Sres. Jueces de la </w:t>
      </w:r>
      <w:r w:rsidR="00FA549F">
        <w:rPr>
          <w:rFonts w:ascii="Bookman Old Style" w:hAnsi="Bookman Old Style" w:cs="Arial"/>
        </w:rPr>
        <w:t xml:space="preserve">diversas </w:t>
      </w:r>
      <w:r w:rsidRPr="009A03B9">
        <w:rPr>
          <w:rFonts w:ascii="Bookman Old Style" w:hAnsi="Bookman Old Style" w:cs="Arial"/>
        </w:rPr>
        <w:t xml:space="preserve"> jurisdicciones</w:t>
      </w:r>
      <w:r w:rsidR="00D8587D">
        <w:rPr>
          <w:rFonts w:ascii="Bookman Old Style" w:hAnsi="Bookman Old Style" w:cs="Arial"/>
        </w:rPr>
        <w:t xml:space="preserve"> </w:t>
      </w:r>
      <w:r w:rsidRPr="009A03B9">
        <w:rPr>
          <w:rFonts w:ascii="Bookman Old Style" w:hAnsi="Bookman Old Style" w:cs="Arial"/>
        </w:rPr>
        <w:t xml:space="preserve">  y fueros</w:t>
      </w:r>
      <w:r>
        <w:rPr>
          <w:rFonts w:ascii="Bookman Old Style" w:hAnsi="Bookman Old Style" w:cs="Arial"/>
        </w:rPr>
        <w:t xml:space="preserve">, </w:t>
      </w:r>
      <w:r w:rsidRPr="009A03B9">
        <w:rPr>
          <w:rFonts w:ascii="Bookman Old Style" w:hAnsi="Bookman Old Style" w:cs="Arial"/>
        </w:rPr>
        <w:t xml:space="preserve">una plataforma pública </w:t>
      </w:r>
      <w:r w:rsidR="00452F0D">
        <w:rPr>
          <w:rFonts w:ascii="Bookman Old Style" w:hAnsi="Bookman Old Style" w:cs="Arial"/>
        </w:rPr>
        <w:t xml:space="preserve">-on line- </w:t>
      </w:r>
      <w:r w:rsidRPr="009A03B9">
        <w:rPr>
          <w:rFonts w:ascii="Bookman Old Style" w:hAnsi="Bookman Old Style" w:cs="Arial"/>
        </w:rPr>
        <w:t>de la que surja con claridad la situación</w:t>
      </w:r>
      <w:r>
        <w:rPr>
          <w:rFonts w:ascii="Bookman Old Style" w:hAnsi="Bookman Old Style" w:cs="Arial"/>
        </w:rPr>
        <w:t xml:space="preserve"> de la Aseguradora a consultar arrojando resultado de Condición </w:t>
      </w:r>
      <w:r w:rsidR="00452F0D">
        <w:rPr>
          <w:rFonts w:ascii="Bookman Old Style" w:hAnsi="Bookman Old Style" w:cs="Arial"/>
        </w:rPr>
        <w:t>“</w:t>
      </w:r>
      <w:r>
        <w:rPr>
          <w:rFonts w:ascii="Bookman Old Style" w:hAnsi="Bookman Old Style" w:cs="Arial"/>
        </w:rPr>
        <w:t>aprobad</w:t>
      </w:r>
      <w:r w:rsidR="00452F0D">
        <w:rPr>
          <w:rFonts w:ascii="Bookman Old Style" w:hAnsi="Bookman Old Style" w:cs="Arial"/>
        </w:rPr>
        <w:t>a”</w:t>
      </w:r>
      <w:r>
        <w:rPr>
          <w:rFonts w:ascii="Bookman Old Style" w:hAnsi="Bookman Old Style" w:cs="Arial"/>
        </w:rPr>
        <w:t xml:space="preserve"> o en su defecto </w:t>
      </w:r>
      <w:r w:rsidR="00452F0D">
        <w:rPr>
          <w:rFonts w:ascii="Bookman Old Style" w:hAnsi="Bookman Old Style" w:cs="Arial"/>
        </w:rPr>
        <w:t>“</w:t>
      </w:r>
      <w:r>
        <w:rPr>
          <w:rFonts w:ascii="Bookman Old Style" w:hAnsi="Bookman Old Style" w:cs="Arial"/>
        </w:rPr>
        <w:t>desaprobada</w:t>
      </w:r>
      <w:r w:rsidR="00452F0D">
        <w:rPr>
          <w:rFonts w:ascii="Bookman Old Style" w:hAnsi="Bookman Old Style" w:cs="Arial"/>
        </w:rPr>
        <w:t>”</w:t>
      </w:r>
      <w:r>
        <w:rPr>
          <w:rFonts w:ascii="Bookman Old Style" w:hAnsi="Bookman Old Style" w:cs="Arial"/>
        </w:rPr>
        <w:t xml:space="preserve">. </w:t>
      </w:r>
    </w:p>
    <w:p w:rsidR="0026773A" w:rsidRDefault="009A03B9" w:rsidP="009A03B9">
      <w:pPr>
        <w:spacing w:line="360" w:lineRule="auto"/>
        <w:jc w:val="both"/>
        <w:rPr>
          <w:rFonts w:ascii="Bookman Old Style" w:hAnsi="Bookman Old Style" w:cs="Arial"/>
        </w:rPr>
      </w:pPr>
      <w:r>
        <w:rPr>
          <w:rFonts w:ascii="Bookman Old Style" w:hAnsi="Bookman Old Style" w:cs="Arial"/>
        </w:rPr>
        <w:t xml:space="preserve">Si de </w:t>
      </w:r>
      <w:r w:rsidR="00452F0D">
        <w:rPr>
          <w:rFonts w:ascii="Bookman Old Style" w:hAnsi="Bookman Old Style" w:cs="Arial"/>
        </w:rPr>
        <w:t>esta consulta on line</w:t>
      </w:r>
      <w:r w:rsidR="00C1092D">
        <w:rPr>
          <w:rFonts w:ascii="Bookman Old Style" w:hAnsi="Bookman Old Style" w:cs="Arial"/>
        </w:rPr>
        <w:t xml:space="preserve">, </w:t>
      </w:r>
      <w:r w:rsidR="00452F0D">
        <w:rPr>
          <w:rFonts w:ascii="Bookman Old Style" w:hAnsi="Bookman Old Style" w:cs="Arial"/>
        </w:rPr>
        <w:t xml:space="preserve"> </w:t>
      </w:r>
      <w:r>
        <w:rPr>
          <w:rFonts w:ascii="Bookman Old Style" w:hAnsi="Bookman Old Style" w:cs="Arial"/>
        </w:rPr>
        <w:t xml:space="preserve"> surgiera una “condición aprobada” no habría entonces razones fácticas ni jurídicas para avanzar con la traba de un Embargo Preventivo</w:t>
      </w:r>
      <w:r w:rsidR="00452F0D">
        <w:rPr>
          <w:rFonts w:ascii="Bookman Old Style" w:hAnsi="Bookman Old Style" w:cs="Arial"/>
        </w:rPr>
        <w:t>; ello sin perjuicio del análisis que cada juez interviniente deba hacer de los extremos de cada causa en trámite</w:t>
      </w:r>
    </w:p>
    <w:p w:rsidR="009A03B9" w:rsidRDefault="009A03B9" w:rsidP="009A03B9">
      <w:pPr>
        <w:spacing w:line="360" w:lineRule="auto"/>
        <w:jc w:val="both"/>
        <w:rPr>
          <w:rFonts w:ascii="Bookman Old Style" w:hAnsi="Bookman Old Style" w:cs="Arial"/>
        </w:rPr>
      </w:pPr>
    </w:p>
    <w:p w:rsidR="00452F0D" w:rsidRDefault="00452F0D" w:rsidP="009A03B9">
      <w:pPr>
        <w:spacing w:line="360" w:lineRule="auto"/>
        <w:jc w:val="both"/>
        <w:rPr>
          <w:rFonts w:ascii="Bookman Old Style" w:hAnsi="Bookman Old Style" w:cs="Arial"/>
          <w:i/>
          <w:u w:val="single"/>
        </w:rPr>
      </w:pPr>
      <w:r w:rsidRPr="00452F0D">
        <w:rPr>
          <w:rFonts w:ascii="Bookman Old Style" w:hAnsi="Bookman Old Style" w:cs="Arial"/>
          <w:i/>
          <w:u w:val="single"/>
        </w:rPr>
        <w:t>Muestra gráfica de la Consulta On Line</w:t>
      </w:r>
    </w:p>
    <w:p w:rsidR="00452F0D" w:rsidRPr="00452F0D" w:rsidRDefault="00452F0D" w:rsidP="009A03B9">
      <w:pPr>
        <w:spacing w:line="360" w:lineRule="auto"/>
        <w:jc w:val="both"/>
        <w:rPr>
          <w:rFonts w:ascii="Bookman Old Style" w:hAnsi="Bookman Old Style" w:cs="Arial"/>
          <w:i/>
          <w:u w:val="single"/>
        </w:rPr>
      </w:pPr>
    </w:p>
    <w:p w:rsidR="009A03B9" w:rsidRDefault="00F5253C" w:rsidP="009A03B9">
      <w:pPr>
        <w:spacing w:line="360" w:lineRule="auto"/>
        <w:jc w:val="both"/>
        <w:rPr>
          <w:rFonts w:ascii="Bookman Old Style" w:hAnsi="Bookman Old Style" w:cs="Arial"/>
        </w:rPr>
      </w:pPr>
      <w:r w:rsidRPr="00F5253C">
        <w:rPr>
          <w:noProof/>
        </w:rPr>
        <w:drawing>
          <wp:inline distT="0" distB="0" distL="0" distR="0">
            <wp:extent cx="5400040" cy="99378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993783"/>
                    </a:xfrm>
                    <a:prstGeom prst="rect">
                      <a:avLst/>
                    </a:prstGeom>
                    <a:noFill/>
                    <a:ln>
                      <a:noFill/>
                    </a:ln>
                  </pic:spPr>
                </pic:pic>
              </a:graphicData>
            </a:graphic>
          </wp:inline>
        </w:drawing>
      </w:r>
    </w:p>
    <w:p w:rsidR="00D8587D" w:rsidRDefault="00D8587D" w:rsidP="00D8587D">
      <w:pPr>
        <w:spacing w:line="360" w:lineRule="auto"/>
        <w:jc w:val="both"/>
        <w:rPr>
          <w:rFonts w:ascii="Bookman Old Style" w:hAnsi="Bookman Old Style" w:cs="Arial"/>
        </w:rPr>
      </w:pPr>
    </w:p>
    <w:p w:rsidR="00D8587D" w:rsidRDefault="00D8587D" w:rsidP="00D8587D">
      <w:pPr>
        <w:spacing w:line="360" w:lineRule="auto"/>
        <w:jc w:val="both"/>
        <w:rPr>
          <w:rFonts w:ascii="Bookman Old Style" w:hAnsi="Bookman Old Style" w:cs="Arial"/>
        </w:rPr>
      </w:pPr>
      <w:r>
        <w:rPr>
          <w:rFonts w:ascii="Bookman Old Style" w:hAnsi="Bookman Old Style" w:cs="Arial"/>
        </w:rPr>
        <w:t xml:space="preserve">2.-  Que si </w:t>
      </w:r>
      <w:r w:rsidR="00452F0D">
        <w:rPr>
          <w:rFonts w:ascii="Bookman Old Style" w:hAnsi="Bookman Old Style" w:cs="Arial"/>
        </w:rPr>
        <w:t>esta mentada Consulta On line arrojara como resultante “C</w:t>
      </w:r>
      <w:r>
        <w:rPr>
          <w:rFonts w:ascii="Bookman Old Style" w:hAnsi="Bookman Old Style" w:cs="Arial"/>
        </w:rPr>
        <w:t>ondición aprobada</w:t>
      </w:r>
      <w:r w:rsidR="00452F0D">
        <w:rPr>
          <w:rFonts w:ascii="Bookman Old Style" w:hAnsi="Bookman Old Style" w:cs="Arial"/>
        </w:rPr>
        <w:t xml:space="preserve">” </w:t>
      </w:r>
      <w:r>
        <w:rPr>
          <w:rFonts w:ascii="Bookman Old Style" w:hAnsi="Bookman Old Style" w:cs="Arial"/>
        </w:rPr>
        <w:t xml:space="preserve">según reza en el punto 1) del párrafo anterior, el juez interviniente tenga elementos </w:t>
      </w:r>
      <w:r w:rsidR="00452F0D">
        <w:rPr>
          <w:rFonts w:ascii="Bookman Old Style" w:hAnsi="Bookman Old Style" w:cs="Arial"/>
        </w:rPr>
        <w:t xml:space="preserve">suficientes </w:t>
      </w:r>
      <w:r>
        <w:rPr>
          <w:rFonts w:ascii="Bookman Old Style" w:hAnsi="Bookman Old Style" w:cs="Arial"/>
        </w:rPr>
        <w:t xml:space="preserve">para rechazar a la pretensora </w:t>
      </w:r>
      <w:r w:rsidR="0083006B">
        <w:rPr>
          <w:rFonts w:ascii="Bookman Old Style" w:hAnsi="Bookman Old Style" w:cs="Arial"/>
        </w:rPr>
        <w:t>su pretensión</w:t>
      </w:r>
      <w:r w:rsidR="00452F0D">
        <w:rPr>
          <w:rFonts w:ascii="Bookman Old Style" w:hAnsi="Bookman Old Style" w:cs="Arial"/>
        </w:rPr>
        <w:t xml:space="preserve"> de traba de medidas cautelares puesto que el vertebral presupuesto periculum</w:t>
      </w:r>
      <w:r w:rsidR="00CC4758">
        <w:rPr>
          <w:rFonts w:ascii="Bookman Old Style" w:hAnsi="Bookman Old Style" w:cs="Arial"/>
        </w:rPr>
        <w:t xml:space="preserve"> in mora no estaría configurado (*)</w:t>
      </w:r>
    </w:p>
    <w:p w:rsidR="00CC4758" w:rsidRDefault="00CC4758" w:rsidP="00D8587D">
      <w:pPr>
        <w:spacing w:line="360" w:lineRule="auto"/>
        <w:jc w:val="both"/>
        <w:rPr>
          <w:rFonts w:ascii="Bookman Old Style" w:hAnsi="Bookman Old Style" w:cs="Arial"/>
        </w:rPr>
      </w:pPr>
    </w:p>
    <w:p w:rsidR="00CC4758" w:rsidRPr="00CC4758" w:rsidRDefault="00CC4758" w:rsidP="00D8587D">
      <w:pPr>
        <w:spacing w:line="360" w:lineRule="auto"/>
        <w:jc w:val="both"/>
        <w:rPr>
          <w:rFonts w:cstheme="minorHAnsi"/>
          <w:i/>
          <w:color w:val="4472C4" w:themeColor="accent1"/>
          <w:sz w:val="22"/>
          <w:szCs w:val="22"/>
        </w:rPr>
      </w:pPr>
      <w:r w:rsidRPr="00CC4758">
        <w:rPr>
          <w:rFonts w:cstheme="minorHAnsi"/>
          <w:i/>
          <w:color w:val="4472C4" w:themeColor="accent1"/>
          <w:sz w:val="22"/>
          <w:szCs w:val="22"/>
        </w:rPr>
        <w:t>(*) Sala B Cámara Civil 23/02/2017. Expte 59307/2013. Autos “ NAVARRO NELIDA BEATRIZ S/ MEDIDAS PRECAUTORIAS”: La Cámara revoca el embargo trabado en cuentas de la Aseguradora demandada por cuanto acreditado en autos el estado patromonial de la misma queda explícito la falta de configuración del supuesto “peligro en la demora”</w:t>
      </w:r>
    </w:p>
    <w:p w:rsidR="00CC4758" w:rsidRDefault="00CC4758" w:rsidP="00D8587D">
      <w:pPr>
        <w:spacing w:line="360" w:lineRule="auto"/>
        <w:jc w:val="both"/>
        <w:rPr>
          <w:rFonts w:ascii="Bookman Old Style" w:hAnsi="Bookman Old Style" w:cs="Arial"/>
        </w:rPr>
      </w:pPr>
    </w:p>
    <w:p w:rsidR="009A03B9" w:rsidRDefault="00901159" w:rsidP="00D8587D">
      <w:pPr>
        <w:spacing w:line="360" w:lineRule="auto"/>
        <w:jc w:val="both"/>
        <w:rPr>
          <w:rFonts w:ascii="Bookman Old Style" w:hAnsi="Bookman Old Style" w:cs="Arial"/>
        </w:rPr>
      </w:pPr>
      <w:r>
        <w:rPr>
          <w:rFonts w:ascii="Bookman Old Style" w:hAnsi="Bookman Old Style" w:cs="Arial"/>
        </w:rPr>
        <w:t xml:space="preserve">3.- </w:t>
      </w:r>
      <w:r w:rsidR="00D8587D">
        <w:rPr>
          <w:rFonts w:ascii="Bookman Old Style" w:hAnsi="Bookman Old Style" w:cs="Arial"/>
        </w:rPr>
        <w:t xml:space="preserve">Que para el hipotético caso que se desprendiere de la consulta en esta plataforma pública </w:t>
      </w:r>
      <w:r w:rsidR="00452F0D">
        <w:rPr>
          <w:rFonts w:ascii="Bookman Old Style" w:hAnsi="Bookman Old Style" w:cs="Arial"/>
        </w:rPr>
        <w:t xml:space="preserve">de alguna alerta que ameritara </w:t>
      </w:r>
      <w:r w:rsidR="00D8587D">
        <w:rPr>
          <w:rFonts w:ascii="Bookman Old Style" w:hAnsi="Bookman Old Style" w:cs="Arial"/>
        </w:rPr>
        <w:t xml:space="preserve">la Traba de Embargo </w:t>
      </w:r>
      <w:r w:rsidR="00D8587D">
        <w:rPr>
          <w:rFonts w:ascii="Bookman Old Style" w:hAnsi="Bookman Old Style" w:cs="Arial"/>
        </w:rPr>
        <w:lastRenderedPageBreak/>
        <w:t xml:space="preserve">Preventivo; se ordene el mismo con sujeción a un orden de prelación con traba en la cuenta del Banco de la Nación. </w:t>
      </w:r>
    </w:p>
    <w:p w:rsidR="004240CC" w:rsidRPr="001E30B6" w:rsidRDefault="004240CC" w:rsidP="00D8587D">
      <w:pPr>
        <w:spacing w:line="360" w:lineRule="auto"/>
        <w:jc w:val="both"/>
        <w:rPr>
          <w:rFonts w:ascii="Bookman Old Style" w:hAnsi="Bookman Old Style" w:cs="Arial"/>
          <w:color w:val="ED7D31" w:themeColor="accent2"/>
        </w:rPr>
      </w:pPr>
    </w:p>
    <w:p w:rsidR="000328F3" w:rsidRDefault="000328F3" w:rsidP="00D8587D">
      <w:pPr>
        <w:spacing w:line="360" w:lineRule="auto"/>
        <w:jc w:val="both"/>
        <w:rPr>
          <w:rFonts w:ascii="Bookman Old Style" w:hAnsi="Bookman Old Style" w:cs="Arial"/>
        </w:rPr>
      </w:pPr>
    </w:p>
    <w:p w:rsidR="00CC4758" w:rsidRDefault="00CC4758" w:rsidP="000328F3">
      <w:pPr>
        <w:spacing w:line="360" w:lineRule="auto"/>
        <w:jc w:val="center"/>
        <w:rPr>
          <w:rFonts w:ascii="Bookman Old Style" w:hAnsi="Bookman Old Style" w:cs="Arial"/>
          <w:b/>
        </w:rPr>
      </w:pPr>
      <w:r w:rsidRPr="00CC4758">
        <w:rPr>
          <w:rFonts w:ascii="Bookman Old Style" w:hAnsi="Bookman Old Style" w:cs="Arial"/>
          <w:b/>
        </w:rPr>
        <w:t>Conclusiones:</w:t>
      </w:r>
    </w:p>
    <w:p w:rsidR="00CC4758" w:rsidRPr="00CC4758" w:rsidRDefault="00CC4758" w:rsidP="00D8587D">
      <w:pPr>
        <w:spacing w:line="360" w:lineRule="auto"/>
        <w:jc w:val="both"/>
        <w:rPr>
          <w:rFonts w:ascii="Bookman Old Style" w:hAnsi="Bookman Old Style" w:cs="Arial"/>
          <w:b/>
        </w:rPr>
      </w:pPr>
    </w:p>
    <w:p w:rsidR="00CC4758" w:rsidRDefault="00CC4758" w:rsidP="00CC4758">
      <w:pPr>
        <w:pStyle w:val="Prrafodelista"/>
        <w:numPr>
          <w:ilvl w:val="0"/>
          <w:numId w:val="16"/>
        </w:numPr>
        <w:spacing w:line="360" w:lineRule="auto"/>
        <w:jc w:val="both"/>
        <w:rPr>
          <w:rFonts w:ascii="Bookman Old Style" w:hAnsi="Bookman Old Style" w:cs="Arial"/>
        </w:rPr>
      </w:pPr>
      <w:r w:rsidRPr="00CC4758">
        <w:rPr>
          <w:rFonts w:ascii="Bookman Old Style" w:hAnsi="Bookman Old Style" w:cs="Arial"/>
        </w:rPr>
        <w:t xml:space="preserve">El otorgamiento de medidas cautelares </w:t>
      </w:r>
      <w:r w:rsidR="0071331A">
        <w:rPr>
          <w:rFonts w:ascii="Bookman Old Style" w:hAnsi="Bookman Old Style" w:cs="Arial"/>
        </w:rPr>
        <w:t>-</w:t>
      </w:r>
      <w:r w:rsidRPr="00CC4758">
        <w:rPr>
          <w:rFonts w:ascii="Bookman Old Style" w:hAnsi="Bookman Old Style" w:cs="Arial"/>
        </w:rPr>
        <w:t>embargos preventivos</w:t>
      </w:r>
      <w:r w:rsidR="0071331A">
        <w:rPr>
          <w:rFonts w:ascii="Bookman Old Style" w:hAnsi="Bookman Old Style" w:cs="Arial"/>
        </w:rPr>
        <w:t>-</w:t>
      </w:r>
      <w:r w:rsidRPr="00CC4758">
        <w:rPr>
          <w:rFonts w:ascii="Bookman Old Style" w:hAnsi="Bookman Old Style" w:cs="Arial"/>
        </w:rPr>
        <w:t xml:space="preserve"> en cuentas de Aseguradoras en aquellos litigios que aún no registran un pronunciamiento judicial firme, ocasionan un grave perjuicio en la operatoria normal de la Compañía sin generar beneficio alguno  para la parte actora litigan</w:t>
      </w:r>
      <w:r w:rsidR="0071331A">
        <w:rPr>
          <w:rFonts w:ascii="Bookman Old Style" w:hAnsi="Bookman Old Style" w:cs="Arial"/>
        </w:rPr>
        <w:t>t</w:t>
      </w:r>
      <w:r w:rsidRPr="00CC4758">
        <w:rPr>
          <w:rFonts w:ascii="Bookman Old Style" w:hAnsi="Bookman Old Style" w:cs="Arial"/>
        </w:rPr>
        <w:t xml:space="preserve">e en </w:t>
      </w:r>
      <w:r w:rsidR="0071331A">
        <w:rPr>
          <w:rFonts w:ascii="Bookman Old Style" w:hAnsi="Bookman Old Style" w:cs="Arial"/>
        </w:rPr>
        <w:t xml:space="preserve">el </w:t>
      </w:r>
      <w:r w:rsidRPr="00CC4758">
        <w:rPr>
          <w:rFonts w:ascii="Bookman Old Style" w:hAnsi="Bookman Old Style" w:cs="Arial"/>
        </w:rPr>
        <w:t xml:space="preserve"> expediente en cuestión.</w:t>
      </w:r>
    </w:p>
    <w:p w:rsidR="00CC4758" w:rsidRDefault="00CC4758" w:rsidP="00CC4758">
      <w:pPr>
        <w:pStyle w:val="Prrafodelista"/>
        <w:numPr>
          <w:ilvl w:val="0"/>
          <w:numId w:val="16"/>
        </w:numPr>
        <w:spacing w:line="360" w:lineRule="auto"/>
        <w:jc w:val="both"/>
        <w:rPr>
          <w:rFonts w:ascii="Bookman Old Style" w:hAnsi="Bookman Old Style" w:cs="Arial"/>
        </w:rPr>
      </w:pPr>
      <w:r>
        <w:rPr>
          <w:rFonts w:ascii="Bookman Old Style" w:hAnsi="Bookman Old Style" w:cs="Arial"/>
        </w:rPr>
        <w:t xml:space="preserve">La traba de esos embargos </w:t>
      </w:r>
      <w:r w:rsidR="0071331A">
        <w:rPr>
          <w:rFonts w:ascii="Bookman Old Style" w:hAnsi="Bookman Old Style" w:cs="Arial"/>
        </w:rPr>
        <w:t xml:space="preserve">preventivos </w:t>
      </w:r>
      <w:r>
        <w:rPr>
          <w:rFonts w:ascii="Bookman Old Style" w:hAnsi="Bookman Old Style" w:cs="Arial"/>
        </w:rPr>
        <w:t>son concedidos sin estar debidamente acreditado el supuesto fáctico vertebral, cuál es el llamado “Periculum in Mora”.</w:t>
      </w:r>
    </w:p>
    <w:p w:rsidR="00CC4758" w:rsidRDefault="00CC4758" w:rsidP="00CC4758">
      <w:pPr>
        <w:pStyle w:val="Prrafodelista"/>
        <w:numPr>
          <w:ilvl w:val="0"/>
          <w:numId w:val="16"/>
        </w:numPr>
        <w:spacing w:line="360" w:lineRule="auto"/>
        <w:jc w:val="both"/>
        <w:rPr>
          <w:rFonts w:ascii="Bookman Old Style" w:hAnsi="Bookman Old Style" w:cs="Arial"/>
        </w:rPr>
      </w:pPr>
      <w:r>
        <w:rPr>
          <w:rFonts w:ascii="Bookman Old Style" w:hAnsi="Bookman Old Style" w:cs="Arial"/>
        </w:rPr>
        <w:t>En sendas ocasiones esos embargos son trabados sin la acreditación de una debida contra-cautela.</w:t>
      </w:r>
    </w:p>
    <w:p w:rsidR="0071331A" w:rsidRDefault="00CC4758" w:rsidP="00CC4758">
      <w:pPr>
        <w:pStyle w:val="Prrafodelista"/>
        <w:numPr>
          <w:ilvl w:val="0"/>
          <w:numId w:val="16"/>
        </w:numPr>
        <w:spacing w:line="360" w:lineRule="auto"/>
        <w:jc w:val="both"/>
        <w:rPr>
          <w:rFonts w:ascii="Bookman Old Style" w:hAnsi="Bookman Old Style" w:cs="Arial"/>
        </w:rPr>
      </w:pPr>
      <w:r>
        <w:rPr>
          <w:rFonts w:ascii="Bookman Old Style" w:hAnsi="Bookman Old Style" w:cs="Arial"/>
        </w:rPr>
        <w:t>La afectación de embargos en las cuentas de Aseguradoras, genera un daño en el giro normal de los negocios, sobre</w:t>
      </w:r>
      <w:r w:rsidR="0071331A">
        <w:rPr>
          <w:rFonts w:ascii="Bookman Old Style" w:hAnsi="Bookman Old Style" w:cs="Arial"/>
        </w:rPr>
        <w:t xml:space="preserve"> </w:t>
      </w:r>
      <w:r>
        <w:rPr>
          <w:rFonts w:ascii="Bookman Old Style" w:hAnsi="Bookman Old Style" w:cs="Arial"/>
        </w:rPr>
        <w:t>todo teniendo en cuenta que afecta cuentas bancarias “pagadoras”</w:t>
      </w:r>
      <w:r w:rsidR="0071331A">
        <w:rPr>
          <w:rFonts w:ascii="Bookman Old Style" w:hAnsi="Bookman Old Style" w:cs="Arial"/>
        </w:rPr>
        <w:t xml:space="preserve"> por las que efectúan los pagos de siniestros a asegurados y otros terceros víctimas de accidentes de tránsito.</w:t>
      </w:r>
    </w:p>
    <w:p w:rsidR="0071331A" w:rsidRDefault="0071331A" w:rsidP="00CC4758">
      <w:pPr>
        <w:pStyle w:val="Prrafodelista"/>
        <w:numPr>
          <w:ilvl w:val="0"/>
          <w:numId w:val="16"/>
        </w:numPr>
        <w:spacing w:line="360" w:lineRule="auto"/>
        <w:jc w:val="both"/>
        <w:rPr>
          <w:rFonts w:ascii="Bookman Old Style" w:hAnsi="Bookman Old Style" w:cs="Arial"/>
        </w:rPr>
      </w:pPr>
      <w:r>
        <w:rPr>
          <w:rFonts w:ascii="Bookman Old Style" w:hAnsi="Bookman Old Style" w:cs="Arial"/>
        </w:rPr>
        <w:t>Es necesario la creación de un mecanismo hábil y suficiente para que los Sres. Jueces tomen razón del estado patrimonial de las distintas Aseguradoras, entendiendo que el Organismo rector para suministrar esa información de modo certero y adecuado es claramente la Superintendencia de Seguros de la Nación.</w:t>
      </w:r>
    </w:p>
    <w:p w:rsidR="0071331A" w:rsidRDefault="0071331A" w:rsidP="00CC4758">
      <w:pPr>
        <w:pStyle w:val="Prrafodelista"/>
        <w:numPr>
          <w:ilvl w:val="0"/>
          <w:numId w:val="16"/>
        </w:numPr>
        <w:spacing w:line="360" w:lineRule="auto"/>
        <w:jc w:val="both"/>
        <w:rPr>
          <w:rFonts w:ascii="Bookman Old Style" w:hAnsi="Bookman Old Style" w:cs="Arial"/>
        </w:rPr>
      </w:pPr>
      <w:r>
        <w:rPr>
          <w:rFonts w:ascii="Bookman Old Style" w:hAnsi="Bookman Old Style" w:cs="Arial"/>
        </w:rPr>
        <w:t>Se propone en este documento,  una alternativa de Consulta On line, que la Superintendencia de Seguros de la Nación debería  disponer  a favor de los Tribunales de todo el país;  decisión que deberá se acompañada de un Programa de Difusión y Buenas prácticas a suscribir por los actores del Mercado Asegurador.</w:t>
      </w:r>
    </w:p>
    <w:p w:rsidR="00967C56" w:rsidRPr="00C50EE5" w:rsidRDefault="00AE20CD" w:rsidP="00CC4758">
      <w:pPr>
        <w:pStyle w:val="Prrafodelista"/>
        <w:numPr>
          <w:ilvl w:val="0"/>
          <w:numId w:val="16"/>
        </w:numPr>
        <w:spacing w:line="360" w:lineRule="auto"/>
        <w:jc w:val="both"/>
        <w:rPr>
          <w:rFonts w:ascii="Bookman Old Style" w:hAnsi="Bookman Old Style" w:cs="Arial"/>
        </w:rPr>
      </w:pPr>
      <w:r w:rsidRPr="00C50EE5">
        <w:rPr>
          <w:rFonts w:ascii="Bookman Old Style" w:hAnsi="Bookman Old Style" w:cs="Arial"/>
        </w:rPr>
        <w:t>El proyecto supone el desafío de compatibilizar la potestad de la S</w:t>
      </w:r>
      <w:r w:rsidR="00C50EE5" w:rsidRPr="00C50EE5">
        <w:rPr>
          <w:rFonts w:ascii="Bookman Old Style" w:hAnsi="Bookman Old Style" w:cs="Arial"/>
        </w:rPr>
        <w:t>uperintendencia de Seguros de la Nación con la del Poder Judicial</w:t>
      </w:r>
      <w:r w:rsidRPr="00C50EE5">
        <w:rPr>
          <w:rFonts w:ascii="Bookman Old Style" w:hAnsi="Bookman Old Style" w:cs="Arial"/>
        </w:rPr>
        <w:t xml:space="preserve"> </w:t>
      </w:r>
      <w:r w:rsidRPr="00C50EE5">
        <w:rPr>
          <w:rFonts w:ascii="Bookman Old Style" w:hAnsi="Bookman Old Style" w:cs="Arial"/>
        </w:rPr>
        <w:lastRenderedPageBreak/>
        <w:t>y</w:t>
      </w:r>
      <w:r w:rsidR="00C50EE5" w:rsidRPr="00C50EE5">
        <w:rPr>
          <w:rFonts w:ascii="Bookman Old Style" w:hAnsi="Bookman Old Style" w:cs="Arial"/>
        </w:rPr>
        <w:t xml:space="preserve"> la a</w:t>
      </w:r>
      <w:r w:rsidRPr="00C50EE5">
        <w:rPr>
          <w:rFonts w:ascii="Bookman Old Style" w:hAnsi="Bookman Old Style" w:cs="Arial"/>
        </w:rPr>
        <w:t xml:space="preserve">utonomía de normas procesales, sin dejar de ser efectivo.  </w:t>
      </w:r>
      <w:r w:rsidR="00C50EE5" w:rsidRPr="00C50EE5">
        <w:rPr>
          <w:rFonts w:ascii="Bookman Old Style" w:hAnsi="Bookman Old Style" w:cs="Arial"/>
        </w:rPr>
        <w:t xml:space="preserve">El objetivo se centra en que el regulador, en su caso no emita </w:t>
      </w:r>
      <w:r w:rsidRPr="00C50EE5">
        <w:rPr>
          <w:rFonts w:ascii="Bookman Old Style" w:hAnsi="Bookman Old Style" w:cs="Arial"/>
        </w:rPr>
        <w:t xml:space="preserve">una mera recomendación </w:t>
      </w:r>
      <w:r w:rsidR="00C50EE5" w:rsidRPr="00C50EE5">
        <w:rPr>
          <w:rFonts w:ascii="Bookman Old Style" w:hAnsi="Bookman Old Style" w:cs="Arial"/>
        </w:rPr>
        <w:t xml:space="preserve">sino instalar </w:t>
      </w:r>
      <w:r w:rsidRPr="00C50EE5">
        <w:rPr>
          <w:rFonts w:ascii="Bookman Old Style" w:hAnsi="Bookman Old Style" w:cs="Arial"/>
        </w:rPr>
        <w:t xml:space="preserve">un verdadero procedimiento previo obligatorio para evitar el abuso de </w:t>
      </w:r>
      <w:r w:rsidR="00C50EE5" w:rsidRPr="00C50EE5">
        <w:rPr>
          <w:rFonts w:ascii="Bookman Old Style" w:hAnsi="Bookman Old Style" w:cs="Arial"/>
        </w:rPr>
        <w:t xml:space="preserve">medidas </w:t>
      </w:r>
      <w:r w:rsidRPr="00C50EE5">
        <w:rPr>
          <w:rFonts w:ascii="Bookman Old Style" w:hAnsi="Bookman Old Style" w:cs="Arial"/>
        </w:rPr>
        <w:t xml:space="preserve">cautelares anticipadas. </w:t>
      </w:r>
    </w:p>
    <w:p w:rsidR="000328F3" w:rsidRDefault="000328F3" w:rsidP="000328F3">
      <w:pPr>
        <w:spacing w:line="360" w:lineRule="auto"/>
        <w:jc w:val="both"/>
        <w:rPr>
          <w:rFonts w:ascii="Bookman Old Style" w:hAnsi="Bookman Old Style" w:cs="Arial"/>
        </w:rPr>
      </w:pPr>
    </w:p>
    <w:p w:rsidR="000328F3" w:rsidRPr="000328F3" w:rsidRDefault="000328F3" w:rsidP="000328F3">
      <w:pPr>
        <w:spacing w:line="360" w:lineRule="auto"/>
        <w:jc w:val="both"/>
        <w:rPr>
          <w:rFonts w:ascii="Bookman Old Style" w:hAnsi="Bookman Old Style" w:cs="Arial"/>
        </w:rPr>
      </w:pPr>
    </w:p>
    <w:p w:rsidR="000328F3" w:rsidRPr="000328F3" w:rsidRDefault="000328F3" w:rsidP="000328F3">
      <w:pPr>
        <w:spacing w:line="360" w:lineRule="auto"/>
        <w:jc w:val="both"/>
        <w:rPr>
          <w:rFonts w:ascii="Bookman Old Style" w:hAnsi="Bookman Old Style" w:cs="Arial"/>
        </w:rPr>
      </w:pPr>
      <w:r>
        <w:rPr>
          <w:rFonts w:ascii="Bookman Old Style" w:hAnsi="Bookman Old Style" w:cs="Arial"/>
        </w:rPr>
        <w:t>Sin otro particular, saludamos a Ud. con la consideración debida.</w:t>
      </w:r>
    </w:p>
    <w:p w:rsidR="00CC4758" w:rsidRDefault="00CC4758" w:rsidP="00D8587D">
      <w:pPr>
        <w:spacing w:line="360" w:lineRule="auto"/>
        <w:jc w:val="both"/>
        <w:rPr>
          <w:rFonts w:ascii="Bookman Old Style" w:hAnsi="Bookman Old Style" w:cs="Arial"/>
        </w:rPr>
      </w:pPr>
    </w:p>
    <w:p w:rsidR="00F62666" w:rsidRPr="00465A85" w:rsidRDefault="00F62666" w:rsidP="00F62666">
      <w:pPr>
        <w:tabs>
          <w:tab w:val="left" w:pos="567"/>
          <w:tab w:val="left" w:pos="1134"/>
          <w:tab w:val="left" w:pos="1701"/>
        </w:tabs>
        <w:spacing w:line="360" w:lineRule="auto"/>
        <w:jc w:val="both"/>
        <w:rPr>
          <w:rFonts w:ascii="Bookman Old Style" w:eastAsia="Times New Roman" w:hAnsi="Bookman Old Style" w:cs="Arial"/>
          <w:color w:val="222222"/>
          <w:lang w:val="es-AR" w:eastAsia="es-AR"/>
        </w:rPr>
      </w:pPr>
      <w:r w:rsidRPr="00465A85">
        <w:rPr>
          <w:rFonts w:ascii="Bookman Old Style" w:eastAsia="Times New Roman" w:hAnsi="Bookman Old Style" w:cs="Arial"/>
          <w:color w:val="222222"/>
          <w:lang w:val="es-AR" w:eastAsia="es-AR"/>
        </w:rPr>
        <w:t>Dr. Dante Cracogna</w:t>
      </w:r>
      <w:r>
        <w:rPr>
          <w:rFonts w:ascii="Bookman Old Style" w:eastAsia="Times New Roman" w:hAnsi="Bookman Old Style" w:cs="Arial"/>
          <w:color w:val="222222"/>
          <w:lang w:val="es-AR" w:eastAsia="es-AR"/>
        </w:rPr>
        <w:t xml:space="preserve"> </w:t>
      </w:r>
      <w:r w:rsidRPr="00465A85">
        <w:rPr>
          <w:rFonts w:ascii="Bookman Old Style" w:eastAsia="Times New Roman" w:hAnsi="Bookman Old Style" w:cs="Arial"/>
          <w:color w:val="222222"/>
          <w:lang w:val="es-AR" w:eastAsia="es-AR"/>
        </w:rPr>
        <w:t>- Dr. Gastón Martínez- Dra. Graciela Testón- Dr. Martín Endere</w:t>
      </w:r>
      <w:r>
        <w:rPr>
          <w:rFonts w:ascii="Bookman Old Style" w:eastAsia="Times New Roman" w:hAnsi="Bookman Old Style" w:cs="Arial"/>
          <w:color w:val="222222"/>
          <w:lang w:val="es-AR" w:eastAsia="es-AR"/>
        </w:rPr>
        <w:t xml:space="preserve"> </w:t>
      </w:r>
      <w:r w:rsidRPr="00465A85">
        <w:rPr>
          <w:rFonts w:ascii="Bookman Old Style" w:eastAsia="Times New Roman" w:hAnsi="Bookman Old Style" w:cs="Arial"/>
          <w:color w:val="222222"/>
          <w:lang w:val="es-AR" w:eastAsia="es-AR"/>
        </w:rPr>
        <w:t xml:space="preserve">- Dra. Mariela Longhi </w:t>
      </w:r>
    </w:p>
    <w:p w:rsidR="00F62666" w:rsidRPr="009A03B9" w:rsidRDefault="00F62666" w:rsidP="00D8587D">
      <w:pPr>
        <w:spacing w:line="360" w:lineRule="auto"/>
        <w:jc w:val="both"/>
        <w:rPr>
          <w:rFonts w:ascii="Bookman Old Style" w:hAnsi="Bookman Old Style" w:cs="Arial"/>
        </w:rPr>
      </w:pPr>
    </w:p>
    <w:sectPr w:rsidR="00F62666" w:rsidRPr="009A03B9">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854" w:rsidRDefault="00BE0854">
      <w:r>
        <w:separator/>
      </w:r>
    </w:p>
  </w:endnote>
  <w:endnote w:type="continuationSeparator" w:id="0">
    <w:p w:rsidR="00BE0854" w:rsidRDefault="00BE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584" w:rsidRDefault="00F645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F0D" w:rsidRDefault="00452F0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584" w:rsidRDefault="00F645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854" w:rsidRDefault="00BE0854">
      <w:r>
        <w:separator/>
      </w:r>
    </w:p>
  </w:footnote>
  <w:footnote w:type="continuationSeparator" w:id="0">
    <w:p w:rsidR="00BE0854" w:rsidRDefault="00BE0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584" w:rsidRDefault="00F645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584" w:rsidRDefault="00F6458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584" w:rsidRDefault="00F645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582C"/>
    <w:multiLevelType w:val="hybridMultilevel"/>
    <w:tmpl w:val="BD4EE5C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8F64D61"/>
    <w:multiLevelType w:val="hybridMultilevel"/>
    <w:tmpl w:val="7C74E59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194D6633"/>
    <w:multiLevelType w:val="hybridMultilevel"/>
    <w:tmpl w:val="094AB6C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21F86929"/>
    <w:multiLevelType w:val="hybridMultilevel"/>
    <w:tmpl w:val="4454C326"/>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15:restartNumberingAfterBreak="0">
    <w:nsid w:val="25724767"/>
    <w:multiLevelType w:val="hybridMultilevel"/>
    <w:tmpl w:val="12324B9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15:restartNumberingAfterBreak="0">
    <w:nsid w:val="317875C6"/>
    <w:multiLevelType w:val="multilevel"/>
    <w:tmpl w:val="E5EC51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2E519C"/>
    <w:multiLevelType w:val="multilevel"/>
    <w:tmpl w:val="3872E1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64036CD"/>
    <w:multiLevelType w:val="multilevel"/>
    <w:tmpl w:val="25DE12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03011EB"/>
    <w:multiLevelType w:val="hybridMultilevel"/>
    <w:tmpl w:val="48368C9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5C106B7"/>
    <w:multiLevelType w:val="hybridMultilevel"/>
    <w:tmpl w:val="B720C1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7051B8D"/>
    <w:multiLevelType w:val="hybridMultilevel"/>
    <w:tmpl w:val="43987E5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15:restartNumberingAfterBreak="0">
    <w:nsid w:val="61DB5806"/>
    <w:multiLevelType w:val="multilevel"/>
    <w:tmpl w:val="6A44538C"/>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DBB62DC"/>
    <w:multiLevelType w:val="hybridMultilevel"/>
    <w:tmpl w:val="9D184DC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4651275"/>
    <w:multiLevelType w:val="multilevel"/>
    <w:tmpl w:val="9154D0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4CF7267"/>
    <w:multiLevelType w:val="hybridMultilevel"/>
    <w:tmpl w:val="4704DCB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EF725AD"/>
    <w:multiLevelType w:val="hybridMultilevel"/>
    <w:tmpl w:val="A54034EE"/>
    <w:lvl w:ilvl="0" w:tplc="95B4C9F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7"/>
  </w:num>
  <w:num w:numId="5">
    <w:abstractNumId w:val="13"/>
  </w:num>
  <w:num w:numId="6">
    <w:abstractNumId w:val="2"/>
  </w:num>
  <w:num w:numId="7">
    <w:abstractNumId w:val="12"/>
  </w:num>
  <w:num w:numId="8">
    <w:abstractNumId w:val="3"/>
  </w:num>
  <w:num w:numId="9">
    <w:abstractNumId w:val="4"/>
  </w:num>
  <w:num w:numId="10">
    <w:abstractNumId w:val="1"/>
  </w:num>
  <w:num w:numId="11">
    <w:abstractNumId w:val="10"/>
  </w:num>
  <w:num w:numId="12">
    <w:abstractNumId w:val="8"/>
  </w:num>
  <w:num w:numId="13">
    <w:abstractNumId w:val="9"/>
  </w:num>
  <w:num w:numId="14">
    <w:abstractNumId w:val="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35"/>
    <w:rsid w:val="0000693F"/>
    <w:rsid w:val="000328F3"/>
    <w:rsid w:val="00041A9E"/>
    <w:rsid w:val="0004506F"/>
    <w:rsid w:val="00051864"/>
    <w:rsid w:val="00062105"/>
    <w:rsid w:val="000A1840"/>
    <w:rsid w:val="00137376"/>
    <w:rsid w:val="00197B01"/>
    <w:rsid w:val="001B3235"/>
    <w:rsid w:val="001B70A4"/>
    <w:rsid w:val="001D534A"/>
    <w:rsid w:val="001E30B6"/>
    <w:rsid w:val="0026773A"/>
    <w:rsid w:val="002951F5"/>
    <w:rsid w:val="002F0E2C"/>
    <w:rsid w:val="0031512A"/>
    <w:rsid w:val="004011E9"/>
    <w:rsid w:val="004240CC"/>
    <w:rsid w:val="0044665C"/>
    <w:rsid w:val="004466DA"/>
    <w:rsid w:val="00452F0D"/>
    <w:rsid w:val="00465A85"/>
    <w:rsid w:val="00535015"/>
    <w:rsid w:val="005741BA"/>
    <w:rsid w:val="005772C3"/>
    <w:rsid w:val="005835F4"/>
    <w:rsid w:val="00612B83"/>
    <w:rsid w:val="006F5978"/>
    <w:rsid w:val="0071331A"/>
    <w:rsid w:val="00751C96"/>
    <w:rsid w:val="007D402A"/>
    <w:rsid w:val="007D7D1B"/>
    <w:rsid w:val="007E7910"/>
    <w:rsid w:val="0083006B"/>
    <w:rsid w:val="008454F6"/>
    <w:rsid w:val="00867E9A"/>
    <w:rsid w:val="008A0184"/>
    <w:rsid w:val="008F1AAA"/>
    <w:rsid w:val="008F49C4"/>
    <w:rsid w:val="00901159"/>
    <w:rsid w:val="00967C56"/>
    <w:rsid w:val="00973A8C"/>
    <w:rsid w:val="009A03B9"/>
    <w:rsid w:val="009A5F19"/>
    <w:rsid w:val="00A107F8"/>
    <w:rsid w:val="00A56B59"/>
    <w:rsid w:val="00AE20CD"/>
    <w:rsid w:val="00B74934"/>
    <w:rsid w:val="00BC5436"/>
    <w:rsid w:val="00BE0854"/>
    <w:rsid w:val="00C05520"/>
    <w:rsid w:val="00C0767F"/>
    <w:rsid w:val="00C1092D"/>
    <w:rsid w:val="00C50EE5"/>
    <w:rsid w:val="00C902A9"/>
    <w:rsid w:val="00CC4758"/>
    <w:rsid w:val="00D17440"/>
    <w:rsid w:val="00D24D86"/>
    <w:rsid w:val="00D52D63"/>
    <w:rsid w:val="00D8587D"/>
    <w:rsid w:val="00DE0BE0"/>
    <w:rsid w:val="00DF22DB"/>
    <w:rsid w:val="00E03EFE"/>
    <w:rsid w:val="00E76712"/>
    <w:rsid w:val="00E817A5"/>
    <w:rsid w:val="00EA40CA"/>
    <w:rsid w:val="00EA7C7E"/>
    <w:rsid w:val="00ED7F47"/>
    <w:rsid w:val="00EF4EB4"/>
    <w:rsid w:val="00F5253C"/>
    <w:rsid w:val="00F62666"/>
    <w:rsid w:val="00F64584"/>
    <w:rsid w:val="00F83378"/>
    <w:rsid w:val="00F91958"/>
    <w:rsid w:val="00FA549F"/>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5FFA8-271B-4810-9E47-247D3423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semiHidden/>
    <w:qFormat/>
    <w:rsid w:val="0080692A"/>
    <w:rPr>
      <w:rFonts w:eastAsiaTheme="minorEastAsia"/>
      <w:sz w:val="20"/>
      <w:szCs w:val="20"/>
      <w:lang w:val="es-ES" w:eastAsia="es-ES"/>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80692A"/>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1">
    <w:name w:val="Título1"/>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AC01E7"/>
    <w:pPr>
      <w:ind w:left="720"/>
      <w:contextualSpacing/>
    </w:pPr>
  </w:style>
  <w:style w:type="paragraph" w:styleId="NormalWeb">
    <w:name w:val="Normal (Web)"/>
    <w:basedOn w:val="Normal"/>
    <w:uiPriority w:val="99"/>
    <w:semiHidden/>
    <w:unhideWhenUsed/>
    <w:qFormat/>
    <w:rsid w:val="0024327C"/>
    <w:pPr>
      <w:spacing w:beforeAutospacing="1" w:afterAutospacing="1"/>
    </w:pPr>
    <w:rPr>
      <w:rFonts w:ascii="Times New Roman" w:eastAsia="Times New Roman" w:hAnsi="Times New Roman" w:cs="Times New Roman"/>
      <w:lang w:val="es-AR" w:eastAsia="es-ES_tradnl"/>
    </w:rPr>
  </w:style>
  <w:style w:type="paragraph" w:styleId="Textonotapie">
    <w:name w:val="footnote text"/>
    <w:basedOn w:val="Normal"/>
    <w:link w:val="TextonotapieCar"/>
    <w:uiPriority w:val="99"/>
    <w:semiHidden/>
    <w:unhideWhenUsed/>
    <w:rsid w:val="0080692A"/>
    <w:rPr>
      <w:rFonts w:eastAsiaTheme="minorEastAsia"/>
      <w:sz w:val="20"/>
      <w:szCs w:val="20"/>
      <w:lang w:val="es-ES" w:eastAsia="es-ES"/>
    </w:rPr>
  </w:style>
  <w:style w:type="paragraph" w:styleId="Encabezado">
    <w:name w:val="header"/>
    <w:basedOn w:val="Normal"/>
    <w:link w:val="EncabezadoCar"/>
    <w:uiPriority w:val="99"/>
    <w:unhideWhenUsed/>
    <w:rsid w:val="00452F0D"/>
    <w:pPr>
      <w:tabs>
        <w:tab w:val="center" w:pos="4419"/>
        <w:tab w:val="right" w:pos="8838"/>
      </w:tabs>
    </w:pPr>
  </w:style>
  <w:style w:type="character" w:customStyle="1" w:styleId="EncabezadoCar">
    <w:name w:val="Encabezado Car"/>
    <w:basedOn w:val="Fuentedeprrafopredeter"/>
    <w:link w:val="Encabezado"/>
    <w:uiPriority w:val="99"/>
    <w:rsid w:val="00452F0D"/>
    <w:rPr>
      <w:lang w:val="es-ES_tradnl"/>
    </w:rPr>
  </w:style>
  <w:style w:type="paragraph" w:styleId="Piedepgina">
    <w:name w:val="footer"/>
    <w:basedOn w:val="Normal"/>
    <w:link w:val="PiedepginaCar"/>
    <w:uiPriority w:val="99"/>
    <w:unhideWhenUsed/>
    <w:rsid w:val="00452F0D"/>
    <w:pPr>
      <w:tabs>
        <w:tab w:val="center" w:pos="4419"/>
        <w:tab w:val="right" w:pos="8838"/>
      </w:tabs>
    </w:pPr>
  </w:style>
  <w:style w:type="character" w:customStyle="1" w:styleId="PiedepginaCar">
    <w:name w:val="Pie de página Car"/>
    <w:basedOn w:val="Fuentedeprrafopredeter"/>
    <w:link w:val="Piedepgina"/>
    <w:uiPriority w:val="99"/>
    <w:rsid w:val="00452F0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0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12B9B-E12A-457D-B1C7-D66775F9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1027</Words>
  <Characters>5654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Mercantil andina</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 martinez</dc:creator>
  <dc:description/>
  <cp:lastModifiedBy>COMPIANI Fabiana</cp:lastModifiedBy>
  <cp:revision>2</cp:revision>
  <dcterms:created xsi:type="dcterms:W3CDTF">2020-12-11T14:53:00Z</dcterms:created>
  <dcterms:modified xsi:type="dcterms:W3CDTF">2020-12-11T14:53:00Z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