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8E" w:rsidRPr="00FB60B5" w:rsidRDefault="0052558E" w:rsidP="00A27A1E">
      <w:pPr>
        <w:autoSpaceDE w:val="0"/>
        <w:autoSpaceDN w:val="0"/>
        <w:adjustRightInd w:val="0"/>
        <w:spacing w:after="0" w:line="240" w:lineRule="auto"/>
        <w:jc w:val="center"/>
        <w:rPr>
          <w:rFonts w:ascii="Bookman Old Style" w:hAnsi="Bookman Old Style" w:cs="TimesNewRomanPS-BoldMT"/>
          <w:b/>
          <w:bCs/>
          <w:sz w:val="24"/>
          <w:szCs w:val="24"/>
        </w:rPr>
      </w:pPr>
      <w:r w:rsidRPr="00FB60B5">
        <w:rPr>
          <w:rFonts w:ascii="Bookman Old Style" w:hAnsi="Bookman Old Style" w:cs="TimesNewRomanPS-BoldMT"/>
          <w:b/>
          <w:bCs/>
          <w:sz w:val="24"/>
          <w:szCs w:val="24"/>
        </w:rPr>
        <w:t>XVIII Congreso Nacional e Internacional de Derecho de Seguros</w:t>
      </w:r>
    </w:p>
    <w:p w:rsidR="00A27A1E" w:rsidRDefault="00A27A1E" w:rsidP="00A27A1E">
      <w:pPr>
        <w:autoSpaceDE w:val="0"/>
        <w:autoSpaceDN w:val="0"/>
        <w:adjustRightInd w:val="0"/>
        <w:spacing w:after="0" w:line="240" w:lineRule="auto"/>
        <w:jc w:val="center"/>
        <w:rPr>
          <w:rFonts w:ascii="Bookman Old Style" w:hAnsi="Bookman Old Style" w:cs="TimesNewRomanPS-BoldMT"/>
          <w:b/>
          <w:bCs/>
          <w:sz w:val="24"/>
          <w:szCs w:val="24"/>
        </w:rPr>
      </w:pPr>
    </w:p>
    <w:p w:rsidR="0052558E" w:rsidRPr="00FB60B5" w:rsidRDefault="0052558E" w:rsidP="00A27A1E">
      <w:pPr>
        <w:autoSpaceDE w:val="0"/>
        <w:autoSpaceDN w:val="0"/>
        <w:adjustRightInd w:val="0"/>
        <w:spacing w:after="0" w:line="240" w:lineRule="auto"/>
        <w:jc w:val="center"/>
        <w:rPr>
          <w:rFonts w:ascii="Bookman Old Style" w:hAnsi="Bookman Old Style" w:cs="TimesNewRomanPS-BoldMT"/>
          <w:b/>
          <w:bCs/>
          <w:sz w:val="24"/>
          <w:szCs w:val="24"/>
        </w:rPr>
      </w:pPr>
      <w:r w:rsidRPr="00FB60B5">
        <w:rPr>
          <w:rFonts w:ascii="Bookman Old Style" w:hAnsi="Bookman Old Style" w:cs="TimesNewRomanPS-BoldMT"/>
          <w:b/>
          <w:bCs/>
          <w:sz w:val="24"/>
          <w:szCs w:val="24"/>
        </w:rPr>
        <w:t>Paraná- República Argentina</w:t>
      </w:r>
      <w:r w:rsidR="00FB60B5" w:rsidRPr="00FB60B5">
        <w:rPr>
          <w:rFonts w:ascii="Bookman Old Style" w:hAnsi="Bookman Old Style" w:cs="TimesNewRomanPS-BoldMT"/>
          <w:b/>
          <w:bCs/>
          <w:sz w:val="24"/>
          <w:szCs w:val="24"/>
        </w:rPr>
        <w:t xml:space="preserve"> – 11 al 13 de mayo de 2.022</w:t>
      </w:r>
    </w:p>
    <w:p w:rsidR="0052558E" w:rsidRPr="00FB60B5" w:rsidRDefault="0052558E" w:rsidP="00A27A1E">
      <w:pPr>
        <w:autoSpaceDE w:val="0"/>
        <w:autoSpaceDN w:val="0"/>
        <w:adjustRightInd w:val="0"/>
        <w:spacing w:after="0" w:line="240" w:lineRule="auto"/>
        <w:jc w:val="center"/>
        <w:rPr>
          <w:rFonts w:ascii="Bookman Old Style" w:hAnsi="Bookman Old Style" w:cs="TimesNewRomanPS-BoldMT"/>
          <w:b/>
          <w:bCs/>
          <w:sz w:val="24"/>
          <w:szCs w:val="24"/>
        </w:rPr>
      </w:pPr>
    </w:p>
    <w:p w:rsidR="0052558E" w:rsidRPr="00FB60B5" w:rsidRDefault="0052558E" w:rsidP="009953F3">
      <w:pPr>
        <w:autoSpaceDE w:val="0"/>
        <w:autoSpaceDN w:val="0"/>
        <w:adjustRightInd w:val="0"/>
        <w:spacing w:after="0" w:line="240" w:lineRule="auto"/>
        <w:rPr>
          <w:rFonts w:ascii="Bookman Old Style" w:hAnsi="Bookman Old Style" w:cs="TimesNewRomanPS-BoldMT"/>
          <w:b/>
          <w:bCs/>
          <w:sz w:val="24"/>
          <w:szCs w:val="24"/>
        </w:rPr>
      </w:pPr>
    </w:p>
    <w:p w:rsidR="0052558E" w:rsidRPr="00FB60B5" w:rsidRDefault="00086896" w:rsidP="00F54835">
      <w:pPr>
        <w:autoSpaceDE w:val="0"/>
        <w:autoSpaceDN w:val="0"/>
        <w:adjustRightInd w:val="0"/>
        <w:spacing w:after="0" w:line="240" w:lineRule="auto"/>
        <w:jc w:val="center"/>
        <w:rPr>
          <w:rFonts w:ascii="Bookman Old Style" w:hAnsi="Bookman Old Style" w:cs="TimesNewRomanPS-BoldMT"/>
          <w:b/>
          <w:bCs/>
          <w:sz w:val="24"/>
          <w:szCs w:val="24"/>
          <w:u w:val="single"/>
        </w:rPr>
      </w:pPr>
      <w:r>
        <w:rPr>
          <w:rFonts w:ascii="Bookman Old Style" w:hAnsi="Bookman Old Style" w:cs="TimesNewRomanPS-BoldMT"/>
          <w:b/>
          <w:bCs/>
          <w:sz w:val="24"/>
          <w:szCs w:val="24"/>
          <w:u w:val="single"/>
        </w:rPr>
        <w:t>Conclusiones Comisión Número 5</w:t>
      </w:r>
      <w:r w:rsidR="0052558E" w:rsidRPr="00FB60B5">
        <w:rPr>
          <w:rFonts w:ascii="Bookman Old Style" w:hAnsi="Bookman Old Style" w:cs="TimesNewRomanPS-BoldMT"/>
          <w:b/>
          <w:bCs/>
          <w:sz w:val="24"/>
          <w:szCs w:val="24"/>
          <w:u w:val="single"/>
        </w:rPr>
        <w:t xml:space="preserve"> – Supervisión y Reaseguros</w:t>
      </w:r>
    </w:p>
    <w:p w:rsidR="0052558E" w:rsidRPr="00FB60B5" w:rsidRDefault="0052558E" w:rsidP="00F54835">
      <w:pPr>
        <w:autoSpaceDE w:val="0"/>
        <w:autoSpaceDN w:val="0"/>
        <w:adjustRightInd w:val="0"/>
        <w:spacing w:after="0" w:line="240" w:lineRule="auto"/>
        <w:jc w:val="center"/>
        <w:rPr>
          <w:rFonts w:ascii="Bookman Old Style" w:hAnsi="Bookman Old Style" w:cs="TimesNewRomanPS-BoldMT"/>
          <w:b/>
          <w:bCs/>
          <w:sz w:val="24"/>
          <w:szCs w:val="24"/>
        </w:rPr>
      </w:pPr>
    </w:p>
    <w:p w:rsidR="0052558E" w:rsidRPr="00A27A1E" w:rsidRDefault="0052558E" w:rsidP="009953F3">
      <w:pPr>
        <w:autoSpaceDE w:val="0"/>
        <w:autoSpaceDN w:val="0"/>
        <w:adjustRightInd w:val="0"/>
        <w:spacing w:after="0" w:line="240" w:lineRule="auto"/>
        <w:rPr>
          <w:rFonts w:ascii="Bookman Old Style" w:hAnsi="Bookman Old Style" w:cs="TimesNewRomanPS-BoldMT"/>
          <w:bCs/>
        </w:rPr>
      </w:pPr>
      <w:r w:rsidRPr="00A27A1E">
        <w:rPr>
          <w:rFonts w:ascii="Bookman Old Style" w:hAnsi="Bookman Old Style" w:cs="TimesNewRomanPS-BoldMT"/>
          <w:bCs/>
        </w:rPr>
        <w:t>E</w:t>
      </w:r>
      <w:r w:rsidR="00FB60B5" w:rsidRPr="00A27A1E">
        <w:rPr>
          <w:rFonts w:ascii="Bookman Old Style" w:hAnsi="Bookman Old Style" w:cs="TimesNewRomanPS-BoldMT"/>
          <w:bCs/>
        </w:rPr>
        <w:t xml:space="preserve">n esta </w:t>
      </w:r>
      <w:r w:rsidRPr="00A27A1E">
        <w:rPr>
          <w:rFonts w:ascii="Bookman Old Style" w:hAnsi="Bookman Old Style" w:cs="TimesNewRomanPS-BoldMT"/>
          <w:bCs/>
        </w:rPr>
        <w:t xml:space="preserve">Comisión </w:t>
      </w:r>
      <w:r w:rsidR="00FB60B5" w:rsidRPr="00A27A1E">
        <w:rPr>
          <w:rFonts w:ascii="Bookman Old Style" w:hAnsi="Bookman Old Style" w:cs="TimesNewRomanPS-BoldMT"/>
          <w:bCs/>
        </w:rPr>
        <w:t xml:space="preserve">se </w:t>
      </w:r>
      <w:r w:rsidRPr="00A27A1E">
        <w:rPr>
          <w:rFonts w:ascii="Bookman Old Style" w:hAnsi="Bookman Old Style" w:cs="TimesNewRomanPS-BoldMT"/>
          <w:bCs/>
        </w:rPr>
        <w:t>ha</w:t>
      </w:r>
      <w:r w:rsidR="00FB60B5" w:rsidRPr="00A27A1E">
        <w:rPr>
          <w:rFonts w:ascii="Bookman Old Style" w:hAnsi="Bookman Old Style" w:cs="TimesNewRomanPS-BoldMT"/>
          <w:bCs/>
        </w:rPr>
        <w:t>n</w:t>
      </w:r>
      <w:r w:rsidRPr="00A27A1E">
        <w:rPr>
          <w:rFonts w:ascii="Bookman Old Style" w:hAnsi="Bookman Old Style" w:cs="TimesNewRomanPS-BoldMT"/>
          <w:bCs/>
        </w:rPr>
        <w:t xml:space="preserve"> </w:t>
      </w:r>
      <w:r w:rsidR="00FB60B5" w:rsidRPr="00A27A1E">
        <w:rPr>
          <w:rFonts w:ascii="Bookman Old Style" w:hAnsi="Bookman Old Style" w:cs="TimesNewRomanPS-BoldMT"/>
          <w:bCs/>
        </w:rPr>
        <w:t>compartido e intercambiado consideraciones en torno a seis (6</w:t>
      </w:r>
      <w:r w:rsidR="004B163E">
        <w:rPr>
          <w:rFonts w:ascii="Bookman Old Style" w:hAnsi="Bookman Old Style" w:cs="TimesNewRomanPS-BoldMT"/>
          <w:bCs/>
        </w:rPr>
        <w:t xml:space="preserve">) </w:t>
      </w:r>
      <w:r w:rsidR="00FB60B5" w:rsidRPr="00A27A1E">
        <w:rPr>
          <w:rFonts w:ascii="Bookman Old Style" w:hAnsi="Bookman Old Style" w:cs="TimesNewRomanPS-BoldMT"/>
          <w:bCs/>
        </w:rPr>
        <w:t xml:space="preserve"> p</w:t>
      </w:r>
      <w:r w:rsidRPr="00A27A1E">
        <w:rPr>
          <w:rFonts w:ascii="Bookman Old Style" w:hAnsi="Bookman Old Style" w:cs="TimesNewRomanPS-BoldMT"/>
          <w:bCs/>
        </w:rPr>
        <w:t>onencias</w:t>
      </w:r>
      <w:r w:rsidR="00FB60B5" w:rsidRPr="00A27A1E">
        <w:rPr>
          <w:rFonts w:ascii="Bookman Old Style" w:hAnsi="Bookman Old Style" w:cs="TimesNewRomanPS-BoldMT"/>
          <w:bCs/>
        </w:rPr>
        <w:t>, a saber:</w:t>
      </w:r>
    </w:p>
    <w:p w:rsidR="0052558E" w:rsidRPr="00A27A1E" w:rsidRDefault="0052558E" w:rsidP="009953F3">
      <w:pPr>
        <w:autoSpaceDE w:val="0"/>
        <w:autoSpaceDN w:val="0"/>
        <w:adjustRightInd w:val="0"/>
        <w:spacing w:after="0" w:line="240" w:lineRule="auto"/>
        <w:rPr>
          <w:rFonts w:ascii="Bookman Old Style" w:hAnsi="Bookman Old Style" w:cs="TimesNewRomanPS-BoldMT"/>
          <w:b/>
          <w:bCs/>
        </w:rPr>
      </w:pPr>
    </w:p>
    <w:p w:rsidR="00670D49" w:rsidRPr="00E7034F" w:rsidRDefault="00670D49" w:rsidP="008C35E0">
      <w:pPr>
        <w:pStyle w:val="Default"/>
        <w:jc w:val="both"/>
        <w:rPr>
          <w:rFonts w:ascii="Bookman Old Style" w:hAnsi="Bookman Old Style"/>
          <w:sz w:val="22"/>
          <w:szCs w:val="22"/>
        </w:rPr>
      </w:pPr>
    </w:p>
    <w:p w:rsidR="00670D49" w:rsidRPr="00E7034F" w:rsidRDefault="00670D49" w:rsidP="00670D49">
      <w:pPr>
        <w:pStyle w:val="Default"/>
        <w:numPr>
          <w:ilvl w:val="0"/>
          <w:numId w:val="1"/>
        </w:numPr>
        <w:jc w:val="both"/>
        <w:rPr>
          <w:rFonts w:ascii="Bookman Old Style" w:hAnsi="Bookman Old Style"/>
          <w:b/>
          <w:sz w:val="22"/>
          <w:szCs w:val="22"/>
        </w:rPr>
      </w:pPr>
      <w:r w:rsidRPr="00E7034F">
        <w:rPr>
          <w:rFonts w:ascii="Bookman Old Style" w:hAnsi="Bookman Old Style"/>
          <w:b/>
          <w:sz w:val="22"/>
          <w:szCs w:val="22"/>
        </w:rPr>
        <w:t xml:space="preserve"> Clausula Cut Throug y el Fronting- Distorsión o necesidad-</w:t>
      </w:r>
      <w:r w:rsidR="00CE4FF6" w:rsidRPr="00E7034F">
        <w:rPr>
          <w:rFonts w:ascii="Bookman Old Style" w:hAnsi="Bookman Old Style"/>
          <w:b/>
          <w:sz w:val="22"/>
          <w:szCs w:val="22"/>
        </w:rPr>
        <w:t xml:space="preserve"> Visión del Derecho Uruguayo</w:t>
      </w:r>
    </w:p>
    <w:p w:rsidR="00670D49" w:rsidRPr="00E7034F" w:rsidRDefault="00670D49" w:rsidP="00670D49">
      <w:pPr>
        <w:pStyle w:val="Default"/>
        <w:jc w:val="both"/>
        <w:rPr>
          <w:rFonts w:ascii="Bookman Old Style" w:hAnsi="Bookman Old Style"/>
          <w:b/>
          <w:i/>
          <w:sz w:val="22"/>
          <w:szCs w:val="22"/>
        </w:rPr>
      </w:pPr>
      <w:r w:rsidRPr="00E7034F">
        <w:rPr>
          <w:rFonts w:ascii="Bookman Old Style" w:hAnsi="Bookman Old Style"/>
          <w:b/>
          <w:i/>
          <w:sz w:val="22"/>
          <w:szCs w:val="22"/>
        </w:rPr>
        <w:t>Ponencia de la Dra. Andrea Signorino Barbat</w:t>
      </w:r>
    </w:p>
    <w:p w:rsidR="00570846" w:rsidRPr="00E7034F" w:rsidRDefault="00570846" w:rsidP="00670D49">
      <w:pPr>
        <w:pStyle w:val="Default"/>
        <w:jc w:val="both"/>
        <w:rPr>
          <w:rFonts w:ascii="Bookman Old Style" w:hAnsi="Bookman Old Style"/>
          <w:b/>
          <w:i/>
          <w:sz w:val="22"/>
          <w:szCs w:val="22"/>
        </w:rPr>
      </w:pPr>
    </w:p>
    <w:p w:rsidR="00570846" w:rsidRPr="00E7034F" w:rsidRDefault="00570846" w:rsidP="00E7034F">
      <w:pPr>
        <w:pStyle w:val="Default"/>
        <w:jc w:val="both"/>
        <w:rPr>
          <w:rFonts w:ascii="Bookman Old Style" w:hAnsi="Bookman Old Style"/>
          <w:sz w:val="22"/>
          <w:szCs w:val="22"/>
        </w:rPr>
      </w:pPr>
      <w:r w:rsidRPr="00E7034F">
        <w:rPr>
          <w:rFonts w:ascii="Bookman Old Style" w:hAnsi="Bookman Old Style"/>
          <w:sz w:val="22"/>
          <w:szCs w:val="22"/>
        </w:rPr>
        <w:t>La autora aporta un interesante raconto de la norma que rige el Derecho de Seguros en la República Oriental del Uruguay</w:t>
      </w:r>
      <w:r w:rsidR="00E7034F">
        <w:rPr>
          <w:rFonts w:ascii="Bookman Old Style" w:hAnsi="Bookman Old Style"/>
          <w:sz w:val="22"/>
          <w:szCs w:val="22"/>
        </w:rPr>
        <w:t xml:space="preserve">; </w:t>
      </w:r>
      <w:r w:rsidRPr="00E7034F">
        <w:rPr>
          <w:rFonts w:ascii="Bookman Old Style" w:hAnsi="Bookman Old Style"/>
          <w:sz w:val="22"/>
          <w:szCs w:val="22"/>
        </w:rPr>
        <w:t>más específicamente refiere a los conceptos del Contrato de Seguros y</w:t>
      </w:r>
      <w:r w:rsidR="00E7034F">
        <w:rPr>
          <w:rFonts w:ascii="Bookman Old Style" w:hAnsi="Bookman Old Style"/>
          <w:sz w:val="22"/>
          <w:szCs w:val="22"/>
        </w:rPr>
        <w:t xml:space="preserve"> de </w:t>
      </w:r>
      <w:r w:rsidRPr="00E7034F">
        <w:rPr>
          <w:rFonts w:ascii="Bookman Old Style" w:hAnsi="Bookman Old Style"/>
          <w:sz w:val="22"/>
          <w:szCs w:val="22"/>
        </w:rPr>
        <w:t>Reaseguros</w:t>
      </w:r>
      <w:r w:rsidR="00C91852">
        <w:rPr>
          <w:rFonts w:ascii="Bookman Old Style" w:hAnsi="Bookman Old Style"/>
          <w:sz w:val="22"/>
          <w:szCs w:val="22"/>
        </w:rPr>
        <w:t xml:space="preserve">, más </w:t>
      </w:r>
      <w:r w:rsidRPr="00E7034F">
        <w:rPr>
          <w:rFonts w:ascii="Bookman Old Style" w:hAnsi="Bookman Old Style"/>
          <w:sz w:val="22"/>
          <w:szCs w:val="22"/>
        </w:rPr>
        <w:t>a la independencia de un contrato respecto del otro.</w:t>
      </w:r>
    </w:p>
    <w:p w:rsidR="00570846" w:rsidRPr="00E7034F" w:rsidRDefault="00570846" w:rsidP="00E7034F">
      <w:pPr>
        <w:pStyle w:val="Default"/>
        <w:jc w:val="both"/>
        <w:rPr>
          <w:rFonts w:ascii="Bookman Old Style" w:hAnsi="Bookman Old Style"/>
          <w:sz w:val="22"/>
          <w:szCs w:val="22"/>
        </w:rPr>
      </w:pPr>
      <w:r w:rsidRPr="00E7034F">
        <w:rPr>
          <w:rFonts w:ascii="Bookman Old Style" w:hAnsi="Bookman Old Style"/>
          <w:sz w:val="22"/>
          <w:szCs w:val="22"/>
        </w:rPr>
        <w:t>A continuación, plasma el significado e importancia de las cláusulas Cut- through y el Fronting y describe el funcionamiento del mercado de seguros y reaseguros en torno a estas herramientas planteando si las mismas generan una distorsión o contrariamente resultan</w:t>
      </w:r>
      <w:r w:rsidR="00E7034F">
        <w:rPr>
          <w:rFonts w:ascii="Bookman Old Style" w:hAnsi="Bookman Old Style"/>
          <w:sz w:val="22"/>
          <w:szCs w:val="22"/>
        </w:rPr>
        <w:t xml:space="preserve"> una necesidad operativa</w:t>
      </w:r>
      <w:r w:rsidRPr="00E7034F">
        <w:rPr>
          <w:rFonts w:ascii="Bookman Old Style" w:hAnsi="Bookman Old Style"/>
          <w:sz w:val="22"/>
          <w:szCs w:val="22"/>
        </w:rPr>
        <w:t>.</w:t>
      </w:r>
    </w:p>
    <w:p w:rsidR="00570846" w:rsidRPr="00E7034F" w:rsidRDefault="00570846" w:rsidP="00E7034F">
      <w:pPr>
        <w:pStyle w:val="Default"/>
        <w:jc w:val="both"/>
        <w:rPr>
          <w:rFonts w:ascii="Bookman Old Style" w:hAnsi="Bookman Old Style"/>
          <w:sz w:val="22"/>
          <w:szCs w:val="22"/>
        </w:rPr>
      </w:pPr>
      <w:r w:rsidRPr="00E7034F">
        <w:rPr>
          <w:rFonts w:ascii="Bookman Old Style" w:hAnsi="Bookman Old Style"/>
          <w:sz w:val="22"/>
          <w:szCs w:val="22"/>
        </w:rPr>
        <w:t xml:space="preserve">Finaliza su excelente trabajo ratificando que el legislador aceptó el “fronting” </w:t>
      </w:r>
      <w:r w:rsidR="00CE4FF6" w:rsidRPr="00E7034F">
        <w:rPr>
          <w:rFonts w:ascii="Bookman Old Style" w:hAnsi="Bookman Old Style"/>
          <w:sz w:val="22"/>
          <w:szCs w:val="22"/>
        </w:rPr>
        <w:t>en la nueva ley de seguros y paralelamente la cláusula “cut through</w:t>
      </w:r>
      <w:r w:rsidR="00E7034F">
        <w:rPr>
          <w:rFonts w:ascii="Bookman Old Style" w:hAnsi="Bookman Old Style"/>
          <w:sz w:val="22"/>
          <w:szCs w:val="22"/>
        </w:rPr>
        <w:t xml:space="preserve"> resultó aceptada </w:t>
      </w:r>
      <w:r w:rsidR="00CE4FF6" w:rsidRPr="00E7034F">
        <w:rPr>
          <w:rFonts w:ascii="Bookman Old Style" w:hAnsi="Bookman Old Style"/>
          <w:sz w:val="22"/>
          <w:szCs w:val="22"/>
        </w:rPr>
        <w:t>por necesidades del mercado; por lo tanto</w:t>
      </w:r>
      <w:r w:rsidR="00E7034F">
        <w:rPr>
          <w:rFonts w:ascii="Bookman Old Style" w:hAnsi="Bookman Old Style"/>
          <w:sz w:val="22"/>
          <w:szCs w:val="22"/>
        </w:rPr>
        <w:t xml:space="preserve">, </w:t>
      </w:r>
      <w:r w:rsidR="00CE4FF6" w:rsidRPr="00E7034F">
        <w:rPr>
          <w:rFonts w:ascii="Bookman Old Style" w:hAnsi="Bookman Old Style"/>
          <w:sz w:val="22"/>
          <w:szCs w:val="22"/>
        </w:rPr>
        <w:t>ambas no resultan - en absoluto-  una distorsión para el mercado de Seguros ni de Reaseguros.</w:t>
      </w:r>
    </w:p>
    <w:p w:rsidR="00CE4FF6" w:rsidRPr="00E7034F" w:rsidRDefault="00CE4FF6" w:rsidP="00E7034F">
      <w:pPr>
        <w:pStyle w:val="Default"/>
        <w:jc w:val="both"/>
        <w:rPr>
          <w:rFonts w:ascii="Bookman Old Style" w:hAnsi="Bookman Old Style"/>
          <w:sz w:val="22"/>
          <w:szCs w:val="22"/>
        </w:rPr>
      </w:pPr>
    </w:p>
    <w:p w:rsidR="00CE4FF6" w:rsidRPr="00E7034F" w:rsidRDefault="00CE4FF6" w:rsidP="00670D49">
      <w:pPr>
        <w:pStyle w:val="Default"/>
        <w:jc w:val="both"/>
        <w:rPr>
          <w:rFonts w:ascii="Bookman Old Style" w:hAnsi="Bookman Old Style"/>
          <w:sz w:val="22"/>
          <w:szCs w:val="22"/>
        </w:rPr>
      </w:pPr>
    </w:p>
    <w:p w:rsidR="00CE4FF6" w:rsidRPr="00E7034F" w:rsidRDefault="00CE4FF6" w:rsidP="00CE4FF6">
      <w:pPr>
        <w:autoSpaceDE w:val="0"/>
        <w:autoSpaceDN w:val="0"/>
        <w:adjustRightInd w:val="0"/>
        <w:spacing w:after="0" w:line="240" w:lineRule="auto"/>
        <w:rPr>
          <w:rFonts w:ascii="Bookman Old Style" w:hAnsi="Bookman Old Style" w:cs="Times New Roman"/>
          <w:color w:val="000000"/>
        </w:rPr>
      </w:pPr>
    </w:p>
    <w:p w:rsidR="00CE4FF6" w:rsidRPr="00E7034F" w:rsidRDefault="00CE4FF6" w:rsidP="00CE4FF6">
      <w:pPr>
        <w:pStyle w:val="Prrafodelista"/>
        <w:numPr>
          <w:ilvl w:val="0"/>
          <w:numId w:val="1"/>
        </w:numPr>
        <w:autoSpaceDE w:val="0"/>
        <w:autoSpaceDN w:val="0"/>
        <w:adjustRightInd w:val="0"/>
        <w:spacing w:after="0" w:line="240" w:lineRule="auto"/>
        <w:rPr>
          <w:rFonts w:ascii="Bookman Old Style" w:hAnsi="Bookman Old Style" w:cs="Times New Roman"/>
          <w:b/>
          <w:color w:val="000000"/>
        </w:rPr>
      </w:pPr>
      <w:r w:rsidRPr="00E7034F">
        <w:rPr>
          <w:rFonts w:ascii="Bookman Old Style" w:hAnsi="Bookman Old Style" w:cs="Times New Roman"/>
          <w:b/>
          <w:color w:val="000000"/>
        </w:rPr>
        <w:t>Estructura Legal del Régimen de Reaseguros en la República Argentina- La libertad como eje.</w:t>
      </w:r>
    </w:p>
    <w:p w:rsidR="00CE4FF6" w:rsidRPr="00E7034F" w:rsidRDefault="00CE4FF6" w:rsidP="00CE4FF6">
      <w:pPr>
        <w:autoSpaceDE w:val="0"/>
        <w:autoSpaceDN w:val="0"/>
        <w:adjustRightInd w:val="0"/>
        <w:spacing w:after="0" w:line="240" w:lineRule="auto"/>
        <w:rPr>
          <w:rFonts w:ascii="Bookman Old Style" w:hAnsi="Bookman Old Style" w:cs="Times New Roman"/>
          <w:b/>
          <w:i/>
          <w:color w:val="000000"/>
        </w:rPr>
      </w:pPr>
      <w:r w:rsidRPr="00E7034F">
        <w:rPr>
          <w:rFonts w:ascii="Bookman Old Style" w:hAnsi="Bookman Old Style" w:cs="Times New Roman"/>
          <w:b/>
          <w:i/>
          <w:color w:val="000000"/>
        </w:rPr>
        <w:t>Ponencia del Dr. Carlos  A. Estebenet</w:t>
      </w:r>
    </w:p>
    <w:p w:rsidR="00CE4FF6" w:rsidRPr="00CE4FF6" w:rsidRDefault="00CE4FF6" w:rsidP="00CE4FF6">
      <w:pPr>
        <w:autoSpaceDE w:val="0"/>
        <w:autoSpaceDN w:val="0"/>
        <w:adjustRightInd w:val="0"/>
        <w:spacing w:after="0" w:line="240" w:lineRule="auto"/>
        <w:rPr>
          <w:rFonts w:ascii="Bookman Old Style" w:hAnsi="Bookman Old Style" w:cs="Times New Roman"/>
          <w:color w:val="000000"/>
        </w:rPr>
      </w:pPr>
    </w:p>
    <w:p w:rsidR="00CE4FF6" w:rsidRPr="00E7034F" w:rsidRDefault="00CE4FF6" w:rsidP="00C91852">
      <w:pPr>
        <w:autoSpaceDE w:val="0"/>
        <w:autoSpaceDN w:val="0"/>
        <w:adjustRightInd w:val="0"/>
        <w:spacing w:after="0" w:line="240" w:lineRule="auto"/>
        <w:jc w:val="both"/>
        <w:rPr>
          <w:rFonts w:ascii="Bookman Old Style" w:hAnsi="Bookman Old Style" w:cs="Times New Roman"/>
          <w:color w:val="000000"/>
        </w:rPr>
      </w:pPr>
      <w:r w:rsidRPr="00E7034F">
        <w:rPr>
          <w:rFonts w:ascii="Bookman Old Style" w:hAnsi="Bookman Old Style" w:cs="Times New Roman"/>
          <w:color w:val="000000"/>
        </w:rPr>
        <w:t xml:space="preserve">El autor comienza su ponencia </w:t>
      </w:r>
      <w:r w:rsidR="00C91852">
        <w:rPr>
          <w:rFonts w:ascii="Bookman Old Style" w:hAnsi="Bookman Old Style" w:cs="Times New Roman"/>
          <w:color w:val="000000"/>
        </w:rPr>
        <w:t xml:space="preserve">enseñando </w:t>
      </w:r>
      <w:r w:rsidRPr="00E7034F">
        <w:rPr>
          <w:rFonts w:ascii="Bookman Old Style" w:hAnsi="Bookman Old Style" w:cs="Times New Roman"/>
          <w:color w:val="000000"/>
        </w:rPr>
        <w:t>con un explícito raconto histórico</w:t>
      </w:r>
      <w:r w:rsidR="00C91852">
        <w:rPr>
          <w:rFonts w:ascii="Bookman Old Style" w:hAnsi="Bookman Old Style" w:cs="Times New Roman"/>
          <w:color w:val="000000"/>
        </w:rPr>
        <w:t xml:space="preserve">, </w:t>
      </w:r>
      <w:r w:rsidRPr="00E7034F">
        <w:rPr>
          <w:rFonts w:ascii="Bookman Old Style" w:hAnsi="Bookman Old Style" w:cs="Times New Roman"/>
          <w:color w:val="000000"/>
        </w:rPr>
        <w:t>la estructura legal que ha tenido el régimen legal de Reaseguros en nuestro país.</w:t>
      </w:r>
    </w:p>
    <w:p w:rsidR="00CE4FF6" w:rsidRPr="00CE4FF6" w:rsidRDefault="00CE4FF6" w:rsidP="00C91852">
      <w:pPr>
        <w:autoSpaceDE w:val="0"/>
        <w:autoSpaceDN w:val="0"/>
        <w:adjustRightInd w:val="0"/>
        <w:spacing w:after="0" w:line="240" w:lineRule="auto"/>
        <w:jc w:val="both"/>
        <w:rPr>
          <w:rFonts w:ascii="Bookman Old Style" w:hAnsi="Bookman Old Style" w:cs="Times New Roman"/>
        </w:rPr>
      </w:pPr>
      <w:r w:rsidRPr="00E7034F">
        <w:rPr>
          <w:rFonts w:ascii="Bookman Old Style" w:hAnsi="Bookman Old Style" w:cs="Times New Roman"/>
          <w:color w:val="000000"/>
        </w:rPr>
        <w:t>Hace especial foco en la llamada “Reserva de Mercado”</w:t>
      </w:r>
      <w:r w:rsidR="00E13F0F" w:rsidRPr="00E7034F">
        <w:rPr>
          <w:rFonts w:ascii="Bookman Old Style" w:hAnsi="Bookman Old Style" w:cs="Times New Roman"/>
          <w:color w:val="000000"/>
        </w:rPr>
        <w:t xml:space="preserve"> dejando c</w:t>
      </w:r>
      <w:r w:rsidR="00C91852">
        <w:rPr>
          <w:rFonts w:ascii="Bookman Old Style" w:hAnsi="Bookman Old Style" w:cs="Times New Roman"/>
          <w:color w:val="000000"/>
        </w:rPr>
        <w:t>laramente explicitado que en la</w:t>
      </w:r>
      <w:r w:rsidRPr="00CE4FF6">
        <w:rPr>
          <w:rFonts w:ascii="Bookman Old Style" w:hAnsi="Bookman Old Style" w:cs="Times New Roman"/>
        </w:rPr>
        <w:t xml:space="preserve"> República Argentina impera la libertad en materia de reaseguros, esto significa que las entidades constituidas de conformidad con las leyes locales y autorizadas a operar, tienen la facultad de elegir libremente los reaseguradores con quienes contratar. </w:t>
      </w:r>
    </w:p>
    <w:p w:rsidR="00CE4FF6" w:rsidRPr="00CE4FF6" w:rsidRDefault="00E13F0F" w:rsidP="00C91852">
      <w:pPr>
        <w:autoSpaceDE w:val="0"/>
        <w:autoSpaceDN w:val="0"/>
        <w:adjustRightInd w:val="0"/>
        <w:spacing w:after="0" w:line="240" w:lineRule="auto"/>
        <w:jc w:val="both"/>
        <w:rPr>
          <w:rFonts w:ascii="Bookman Old Style" w:hAnsi="Bookman Old Style" w:cs="Times New Roman"/>
        </w:rPr>
      </w:pPr>
      <w:r w:rsidRPr="00E7034F">
        <w:rPr>
          <w:rFonts w:ascii="Bookman Old Style" w:hAnsi="Bookman Old Style" w:cs="Times New Roman"/>
        </w:rPr>
        <w:t xml:space="preserve">Continúa el trabajo relatando las particularidades de la actuación del órgano de Supervisión; concluyendo que las facultades del supervisor </w:t>
      </w:r>
      <w:r w:rsidR="00CE4FF6" w:rsidRPr="00CE4FF6">
        <w:rPr>
          <w:rFonts w:ascii="Bookman Old Style" w:hAnsi="Bookman Old Style" w:cs="Times New Roman"/>
        </w:rPr>
        <w:t>se limitan a reglamentar el marco</w:t>
      </w:r>
      <w:r w:rsidR="00C91852">
        <w:rPr>
          <w:rFonts w:ascii="Bookman Old Style" w:hAnsi="Bookman Old Style" w:cs="Times New Roman"/>
        </w:rPr>
        <w:t xml:space="preserve"> de actuación</w:t>
      </w:r>
      <w:r w:rsidR="00CE4FF6" w:rsidRPr="00CE4FF6">
        <w:rPr>
          <w:rFonts w:ascii="Bookman Old Style" w:hAnsi="Bookman Old Style" w:cs="Times New Roman"/>
        </w:rPr>
        <w:t xml:space="preserve">, sin que ello signifique suprimir o reducir el derecho que le asiste a las aseguradoras locales. </w:t>
      </w:r>
    </w:p>
    <w:p w:rsidR="00CE4FF6" w:rsidRPr="00E7034F" w:rsidRDefault="00CE4FF6" w:rsidP="00C91852">
      <w:pPr>
        <w:pStyle w:val="Default"/>
        <w:jc w:val="both"/>
        <w:rPr>
          <w:rFonts w:ascii="Bookman Old Style" w:hAnsi="Bookman Old Style"/>
          <w:sz w:val="22"/>
          <w:szCs w:val="22"/>
        </w:rPr>
      </w:pPr>
    </w:p>
    <w:p w:rsidR="00CE4FF6" w:rsidRPr="00E7034F" w:rsidRDefault="00CE4FF6" w:rsidP="00C91852">
      <w:pPr>
        <w:pStyle w:val="Default"/>
        <w:jc w:val="both"/>
        <w:rPr>
          <w:rFonts w:ascii="Bookman Old Style" w:hAnsi="Bookman Old Style"/>
          <w:sz w:val="22"/>
          <w:szCs w:val="22"/>
        </w:rPr>
      </w:pPr>
    </w:p>
    <w:p w:rsidR="00670D49" w:rsidRPr="00E7034F" w:rsidRDefault="00670D49" w:rsidP="00670D49">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uto"/>
        <w:jc w:val="center"/>
        <w:rPr>
          <w:rFonts w:ascii="Bookman Old Style" w:hAnsi="Bookman Old Style"/>
          <w:bCs w:val="0"/>
          <w:sz w:val="22"/>
          <w:szCs w:val="22"/>
          <w:lang w:val="es-UY"/>
        </w:rPr>
      </w:pPr>
    </w:p>
    <w:p w:rsidR="00670D49" w:rsidRPr="00E7034F" w:rsidRDefault="00670D49" w:rsidP="008C35E0">
      <w:pPr>
        <w:pStyle w:val="Default"/>
        <w:jc w:val="both"/>
        <w:rPr>
          <w:rFonts w:ascii="Bookman Old Style" w:hAnsi="Bookman Old Style"/>
          <w:sz w:val="22"/>
          <w:szCs w:val="22"/>
        </w:rPr>
      </w:pPr>
    </w:p>
    <w:p w:rsidR="00DF5B45" w:rsidRPr="00E7034F" w:rsidRDefault="00DF5B45" w:rsidP="008C35E0">
      <w:pPr>
        <w:pStyle w:val="Default"/>
        <w:jc w:val="both"/>
        <w:rPr>
          <w:rFonts w:ascii="Bookman Old Style" w:hAnsi="Bookman Old Style"/>
          <w:bCs/>
          <w:sz w:val="22"/>
          <w:szCs w:val="22"/>
        </w:rPr>
      </w:pPr>
    </w:p>
    <w:p w:rsidR="00360B80" w:rsidRPr="00E7034F" w:rsidRDefault="00360B80" w:rsidP="008C35E0">
      <w:pPr>
        <w:pStyle w:val="Default"/>
        <w:jc w:val="both"/>
        <w:rPr>
          <w:rFonts w:ascii="Bookman Old Style" w:hAnsi="Bookman Old Style"/>
          <w:bCs/>
          <w:sz w:val="22"/>
          <w:szCs w:val="22"/>
        </w:rPr>
      </w:pPr>
    </w:p>
    <w:p w:rsidR="00E13F0F" w:rsidRPr="00E7034F" w:rsidRDefault="00E13F0F" w:rsidP="00E13F0F">
      <w:pPr>
        <w:pStyle w:val="Default"/>
        <w:numPr>
          <w:ilvl w:val="0"/>
          <w:numId w:val="1"/>
        </w:numPr>
        <w:jc w:val="both"/>
        <w:rPr>
          <w:rFonts w:ascii="Bookman Old Style" w:hAnsi="Bookman Old Style"/>
          <w:sz w:val="22"/>
          <w:szCs w:val="22"/>
        </w:rPr>
      </w:pPr>
      <w:r w:rsidRPr="00E7034F">
        <w:rPr>
          <w:rFonts w:ascii="Bookman Old Style" w:hAnsi="Bookman Old Style"/>
          <w:b/>
          <w:bCs/>
          <w:sz w:val="22"/>
          <w:szCs w:val="22"/>
        </w:rPr>
        <w:t>Análisis de la situación actual de las Entidades Aseguradoras en estado de liquidación- Ponencia del Dr. Juan Antonio García Morillo</w:t>
      </w:r>
    </w:p>
    <w:p w:rsidR="00E13F0F" w:rsidRPr="00E7034F" w:rsidRDefault="00E13F0F" w:rsidP="00E13F0F">
      <w:pPr>
        <w:pStyle w:val="Default"/>
        <w:jc w:val="both"/>
        <w:rPr>
          <w:rFonts w:ascii="Bookman Old Style" w:hAnsi="Bookman Old Style"/>
          <w:b/>
          <w:bCs/>
          <w:sz w:val="22"/>
          <w:szCs w:val="22"/>
        </w:rPr>
      </w:pPr>
    </w:p>
    <w:p w:rsidR="00E13F0F" w:rsidRPr="00E7034F" w:rsidRDefault="00E13F0F" w:rsidP="00E13F0F">
      <w:pPr>
        <w:pStyle w:val="Default"/>
        <w:jc w:val="both"/>
        <w:rPr>
          <w:rFonts w:ascii="Bookman Old Style" w:hAnsi="Bookman Old Style"/>
          <w:bCs/>
          <w:sz w:val="22"/>
          <w:szCs w:val="22"/>
        </w:rPr>
      </w:pPr>
      <w:r w:rsidRPr="00E7034F">
        <w:rPr>
          <w:rFonts w:ascii="Bookman Old Style" w:hAnsi="Bookman Old Style"/>
          <w:bCs/>
          <w:sz w:val="22"/>
          <w:szCs w:val="22"/>
        </w:rPr>
        <w:t>El autor nos ilustra respecto del funcionamiento y objetivos de la Gerencia de Liquidaciones de entidades de la Superintendencia de Seguros de la Nación.</w:t>
      </w:r>
    </w:p>
    <w:p w:rsidR="00E13F0F" w:rsidRPr="00E7034F" w:rsidRDefault="00C91852" w:rsidP="00E13F0F">
      <w:pPr>
        <w:pStyle w:val="Default"/>
        <w:jc w:val="both"/>
        <w:rPr>
          <w:rFonts w:ascii="Bookman Old Style" w:hAnsi="Bookman Old Style"/>
          <w:bCs/>
          <w:sz w:val="22"/>
          <w:szCs w:val="22"/>
        </w:rPr>
      </w:pPr>
      <w:r>
        <w:rPr>
          <w:rFonts w:ascii="Bookman Old Style" w:hAnsi="Bookman Old Style"/>
          <w:bCs/>
          <w:sz w:val="22"/>
          <w:szCs w:val="22"/>
        </w:rPr>
        <w:t xml:space="preserve">Realiza </w:t>
      </w:r>
      <w:r w:rsidR="00E13F0F" w:rsidRPr="00E7034F">
        <w:rPr>
          <w:rFonts w:ascii="Bookman Old Style" w:hAnsi="Bookman Old Style"/>
          <w:bCs/>
          <w:sz w:val="22"/>
          <w:szCs w:val="22"/>
        </w:rPr>
        <w:t>una diferenciación entre los pormenores de las liquidaciones de tipo voluntaria y forzosas, así como el estado general de ambas.</w:t>
      </w:r>
    </w:p>
    <w:p w:rsidR="00E13F0F" w:rsidRPr="00E7034F" w:rsidRDefault="00E13F0F" w:rsidP="00E13F0F">
      <w:pPr>
        <w:pStyle w:val="Default"/>
        <w:jc w:val="both"/>
        <w:rPr>
          <w:rFonts w:ascii="Bookman Old Style" w:hAnsi="Bookman Old Style"/>
          <w:bCs/>
          <w:sz w:val="22"/>
          <w:szCs w:val="22"/>
        </w:rPr>
      </w:pPr>
      <w:r w:rsidRPr="00E7034F">
        <w:rPr>
          <w:rFonts w:ascii="Bookman Old Style" w:hAnsi="Bookman Old Style"/>
          <w:bCs/>
          <w:sz w:val="22"/>
          <w:szCs w:val="22"/>
        </w:rPr>
        <w:t>A continuación, relata las reformas normativas que se han ido introduciendo en las últimas décadas.</w:t>
      </w:r>
    </w:p>
    <w:p w:rsidR="00E13F0F" w:rsidRPr="00E7034F" w:rsidRDefault="00E13F0F" w:rsidP="00E13F0F">
      <w:pPr>
        <w:pStyle w:val="Default"/>
        <w:jc w:val="both"/>
        <w:rPr>
          <w:rFonts w:ascii="Bookman Old Style" w:hAnsi="Bookman Old Style"/>
          <w:bCs/>
          <w:sz w:val="22"/>
          <w:szCs w:val="22"/>
        </w:rPr>
      </w:pPr>
      <w:r w:rsidRPr="00E7034F">
        <w:rPr>
          <w:rFonts w:ascii="Bookman Old Style" w:hAnsi="Bookman Old Style"/>
          <w:bCs/>
          <w:sz w:val="22"/>
          <w:szCs w:val="22"/>
        </w:rPr>
        <w:t xml:space="preserve">Concluye esta ponencia con una propuesta de al menos dos (2) cambios normativos: </w:t>
      </w:r>
    </w:p>
    <w:p w:rsidR="00E13F0F" w:rsidRPr="00E7034F" w:rsidRDefault="00E13F0F" w:rsidP="00E13F0F">
      <w:pPr>
        <w:pStyle w:val="Default"/>
        <w:jc w:val="both"/>
        <w:rPr>
          <w:rFonts w:ascii="Bookman Old Style" w:hAnsi="Bookman Old Style"/>
          <w:sz w:val="22"/>
          <w:szCs w:val="22"/>
        </w:rPr>
      </w:pPr>
      <w:r w:rsidRPr="00E7034F">
        <w:rPr>
          <w:rFonts w:ascii="Bookman Old Style" w:hAnsi="Bookman Old Style"/>
          <w:bCs/>
          <w:sz w:val="22"/>
          <w:szCs w:val="22"/>
        </w:rPr>
        <w:t xml:space="preserve">1.- Que  </w:t>
      </w:r>
      <w:r w:rsidRPr="00E7034F">
        <w:rPr>
          <w:rFonts w:ascii="Bookman Old Style" w:hAnsi="Bookman Old Style"/>
          <w:sz w:val="22"/>
          <w:szCs w:val="22"/>
        </w:rPr>
        <w:t>durante el período que transcurre entre la revocatoria de la autorización para operar y el dictado de la sentencia por parte de la Cámara, la entidad debe continuar cumpliendo con sus obligaciones por ante el órgano de control, como si la misma se encontrara in bonis;  por ello se propone que, para el caso en el cual existan créditos verificados que tengan como titulares a socios, asociados o controlantes de la entidad en liquidación, el pago de estos créditos, resulte condicionado a la cancelación previa del total de los pasivos.</w:t>
      </w:r>
    </w:p>
    <w:p w:rsidR="00E13F0F" w:rsidRPr="00E7034F" w:rsidRDefault="00E13F0F" w:rsidP="00E13F0F">
      <w:pPr>
        <w:pStyle w:val="Default"/>
        <w:jc w:val="both"/>
        <w:rPr>
          <w:rFonts w:ascii="Bookman Old Style" w:hAnsi="Bookman Old Style"/>
          <w:sz w:val="22"/>
          <w:szCs w:val="22"/>
        </w:rPr>
      </w:pPr>
      <w:r w:rsidRPr="00E7034F">
        <w:rPr>
          <w:rFonts w:ascii="Bookman Old Style" w:hAnsi="Bookman Old Style"/>
          <w:sz w:val="22"/>
          <w:szCs w:val="22"/>
        </w:rPr>
        <w:t xml:space="preserve">2.- Se propone que transcurrido un (1) año desde la presentación de un Proyecto de Distribución Parcial, sin que los fondos hayan sido percibidos por los interesados, se decrete la caducidad de los dividendos concursales y se proceda a la redistribución de los mismos entre los acreedores de la ex aseguradora. </w:t>
      </w:r>
    </w:p>
    <w:p w:rsidR="00AD65F2" w:rsidRPr="00E7034F" w:rsidRDefault="00AD65F2" w:rsidP="00AD65F2">
      <w:pPr>
        <w:pStyle w:val="Default"/>
        <w:jc w:val="both"/>
        <w:rPr>
          <w:rFonts w:ascii="Bookman Old Style" w:hAnsi="Bookman Old Style"/>
          <w:bCs/>
          <w:sz w:val="22"/>
          <w:szCs w:val="22"/>
        </w:rPr>
      </w:pPr>
    </w:p>
    <w:p w:rsidR="00AD2144" w:rsidRPr="00E7034F" w:rsidRDefault="00AD2144" w:rsidP="00F411A4">
      <w:pPr>
        <w:autoSpaceDE w:val="0"/>
        <w:autoSpaceDN w:val="0"/>
        <w:adjustRightInd w:val="0"/>
        <w:spacing w:after="0" w:line="240" w:lineRule="auto"/>
        <w:jc w:val="both"/>
        <w:rPr>
          <w:rFonts w:ascii="Bookman Old Style" w:hAnsi="Bookman Old Style" w:cs="Times New Roman"/>
        </w:rPr>
      </w:pPr>
    </w:p>
    <w:p w:rsidR="00AD2144" w:rsidRPr="00E7034F" w:rsidRDefault="00AD2144" w:rsidP="00F411A4">
      <w:pPr>
        <w:autoSpaceDE w:val="0"/>
        <w:autoSpaceDN w:val="0"/>
        <w:adjustRightInd w:val="0"/>
        <w:spacing w:after="0" w:line="240" w:lineRule="auto"/>
        <w:jc w:val="both"/>
        <w:rPr>
          <w:rFonts w:ascii="Bookman Old Style" w:hAnsi="Bookman Old Style" w:cs="Times New Roman"/>
        </w:rPr>
      </w:pPr>
    </w:p>
    <w:p w:rsidR="00FB60B5" w:rsidRPr="00E7034F" w:rsidRDefault="00FB60B5" w:rsidP="00FB60B5">
      <w:pPr>
        <w:autoSpaceDE w:val="0"/>
        <w:autoSpaceDN w:val="0"/>
        <w:adjustRightInd w:val="0"/>
        <w:spacing w:after="0" w:line="240" w:lineRule="auto"/>
        <w:jc w:val="both"/>
        <w:rPr>
          <w:rFonts w:ascii="Bookman Old Style" w:hAnsi="Bookman Old Style" w:cs="TimesNewRomanPSMT"/>
        </w:rPr>
      </w:pPr>
    </w:p>
    <w:p w:rsidR="00E13F0F" w:rsidRPr="00E7034F" w:rsidRDefault="0052558E" w:rsidP="00E13F0F">
      <w:pPr>
        <w:pStyle w:val="Prrafodelista"/>
        <w:numPr>
          <w:ilvl w:val="0"/>
          <w:numId w:val="1"/>
        </w:numPr>
        <w:autoSpaceDE w:val="0"/>
        <w:autoSpaceDN w:val="0"/>
        <w:adjustRightInd w:val="0"/>
        <w:spacing w:after="0" w:line="240" w:lineRule="auto"/>
        <w:jc w:val="both"/>
        <w:rPr>
          <w:rFonts w:ascii="Bookman Old Style" w:hAnsi="Bookman Old Style" w:cs="TimesNewRomanPS-BoldMT"/>
          <w:b/>
          <w:bCs/>
          <w:i/>
        </w:rPr>
      </w:pPr>
      <w:r w:rsidRPr="00E7034F">
        <w:rPr>
          <w:rFonts w:ascii="Bookman Old Style" w:hAnsi="Bookman Old Style" w:cs="TimesNewRomanPSMT"/>
        </w:rPr>
        <w:t xml:space="preserve"> </w:t>
      </w:r>
      <w:r w:rsidR="00E13F0F" w:rsidRPr="00E7034F">
        <w:rPr>
          <w:rFonts w:ascii="Bookman Old Style" w:hAnsi="Bookman Old Style" w:cs="TimesNewRomanPS-BoldMT"/>
          <w:b/>
          <w:bCs/>
        </w:rPr>
        <w:t>Análisis Comparativo de la Implementación del Modelo de Supervisión Basado en Riesgos en la República Argentina</w:t>
      </w:r>
      <w:r w:rsidR="00E13F0F" w:rsidRPr="00E7034F">
        <w:rPr>
          <w:rFonts w:ascii="Bookman Old Style" w:hAnsi="Bookman Old Style" w:cs="TimesNewRomanPS-BoldMT"/>
          <w:b/>
          <w:bCs/>
          <w:i/>
        </w:rPr>
        <w:t>”. Ponencia del Dr. Gastón Raúl Martinez</w:t>
      </w:r>
    </w:p>
    <w:p w:rsidR="00E13F0F" w:rsidRPr="00E7034F" w:rsidRDefault="00E13F0F" w:rsidP="00E13F0F">
      <w:pPr>
        <w:jc w:val="both"/>
        <w:rPr>
          <w:rFonts w:ascii="Bookman Old Style" w:hAnsi="Bookman Old Style" w:cs="TimesNewRomanPS-BoldMT"/>
          <w:b/>
          <w:bCs/>
        </w:rPr>
      </w:pPr>
    </w:p>
    <w:p w:rsidR="00E13F0F" w:rsidRPr="00E7034F" w:rsidRDefault="00C91852" w:rsidP="00E13F0F">
      <w:pPr>
        <w:jc w:val="both"/>
        <w:rPr>
          <w:rFonts w:ascii="Bookman Old Style" w:hAnsi="Bookman Old Style" w:cs="TimesNewRomanPS-BoldMT"/>
          <w:bCs/>
        </w:rPr>
      </w:pPr>
      <w:r>
        <w:rPr>
          <w:rFonts w:ascii="Bookman Old Style" w:hAnsi="Bookman Old Style" w:cs="TimesNewRomanPS-BoldMT"/>
          <w:bCs/>
        </w:rPr>
        <w:t xml:space="preserve">Esta ponencia </w:t>
      </w:r>
      <w:r w:rsidR="00E13F0F" w:rsidRPr="00E7034F">
        <w:rPr>
          <w:rFonts w:ascii="Bookman Old Style" w:hAnsi="Bookman Old Style" w:cs="TimesNewRomanPS-BoldMT"/>
          <w:bCs/>
        </w:rPr>
        <w:t>nos ilumin</w:t>
      </w:r>
      <w:r>
        <w:rPr>
          <w:rFonts w:ascii="Bookman Old Style" w:hAnsi="Bookman Old Style" w:cs="TimesNewRomanPS-BoldMT"/>
          <w:bCs/>
        </w:rPr>
        <w:t>a</w:t>
      </w:r>
      <w:r w:rsidR="00E13F0F" w:rsidRPr="00E7034F">
        <w:rPr>
          <w:rFonts w:ascii="Bookman Old Style" w:hAnsi="Bookman Old Style" w:cs="TimesNewRomanPS-BoldMT"/>
          <w:bCs/>
        </w:rPr>
        <w:t xml:space="preserve"> respecto de una exhausta comparación entre un modelo de supervisión basado en Cumplimiento” y otro basado en “Riesgos”; resultando este último de aplicación en los equipos modernos de los   reguladores, habiéndose incorporado en los países de la región en los últimos años  y en  nuestro país recientemente a la luz de la Resolución de la Superintendencia de Seguros de la Nación 1119/2018.</w:t>
      </w:r>
    </w:p>
    <w:p w:rsidR="00E13F0F" w:rsidRPr="00E7034F" w:rsidRDefault="00E13F0F" w:rsidP="00E13F0F">
      <w:pPr>
        <w:autoSpaceDE w:val="0"/>
        <w:autoSpaceDN w:val="0"/>
        <w:adjustRightInd w:val="0"/>
        <w:spacing w:after="0" w:line="240" w:lineRule="auto"/>
        <w:jc w:val="both"/>
        <w:rPr>
          <w:rFonts w:ascii="Bookman Old Style" w:hAnsi="Bookman Old Style" w:cs="TimesNewRomanPSMT"/>
        </w:rPr>
      </w:pPr>
      <w:r w:rsidRPr="00E7034F">
        <w:rPr>
          <w:rFonts w:ascii="Bookman Old Style" w:hAnsi="Bookman Old Style" w:cs="TimesNewRomanPSMT"/>
        </w:rPr>
        <w:t>Por medio de este modelo, las empresas deben analizar cada uno de sus riesgos y trabajar sobre su prevención y sus mitigantes; de esta forma se combaten las conductas vinculadas al cumplimiento meramente “formal” y se mejoran los niveles de transparencia y seguridad en el mercado.</w:t>
      </w:r>
    </w:p>
    <w:p w:rsidR="00E13F0F" w:rsidRPr="00E7034F" w:rsidRDefault="00E13F0F" w:rsidP="00E13F0F">
      <w:pPr>
        <w:autoSpaceDE w:val="0"/>
        <w:autoSpaceDN w:val="0"/>
        <w:adjustRightInd w:val="0"/>
        <w:spacing w:after="0" w:line="240" w:lineRule="auto"/>
        <w:jc w:val="both"/>
        <w:rPr>
          <w:rFonts w:ascii="Bookman Old Style" w:hAnsi="Bookman Old Style" w:cs="TimesNewRomanPSMT"/>
        </w:rPr>
      </w:pPr>
      <w:r w:rsidRPr="00E7034F">
        <w:rPr>
          <w:rFonts w:ascii="Bookman Old Style" w:hAnsi="Bookman Old Style" w:cs="TimesNewRomanPSMT"/>
        </w:rPr>
        <w:t xml:space="preserve">La profundidad de los cambios que propone este nuevo modelo de control frente al clásico de supervisión basado en Cumplimiento, importa que se alcancen acuerdos con los distintos operadores del mercado a fin de contemplar las particularidades de todas las empresas, así como los plazos necesarios para que </w:t>
      </w:r>
      <w:r w:rsidRPr="00E7034F">
        <w:rPr>
          <w:rFonts w:ascii="Bookman Old Style" w:hAnsi="Bookman Old Style" w:cs="TimesNewRomanPSMT"/>
        </w:rPr>
        <w:lastRenderedPageBreak/>
        <w:t>las entidades, y el propio supervisor, vayan adaptando sus modelos de negocios, administración, sistemas informáticos, etc. a los nuevos requerimientos.</w:t>
      </w:r>
    </w:p>
    <w:p w:rsidR="00E13F0F" w:rsidRPr="00E7034F" w:rsidRDefault="00E13F0F" w:rsidP="00E13F0F">
      <w:pPr>
        <w:autoSpaceDE w:val="0"/>
        <w:autoSpaceDN w:val="0"/>
        <w:adjustRightInd w:val="0"/>
        <w:spacing w:after="0" w:line="240" w:lineRule="auto"/>
        <w:jc w:val="both"/>
        <w:rPr>
          <w:rFonts w:ascii="Bookman Old Style" w:hAnsi="Bookman Old Style" w:cs="TimesNewRomanPSMT"/>
        </w:rPr>
      </w:pPr>
    </w:p>
    <w:p w:rsidR="00E13F0F" w:rsidRPr="00E7034F" w:rsidRDefault="00E13F0F" w:rsidP="00E13F0F">
      <w:pPr>
        <w:autoSpaceDE w:val="0"/>
        <w:autoSpaceDN w:val="0"/>
        <w:adjustRightInd w:val="0"/>
        <w:spacing w:after="0" w:line="240" w:lineRule="auto"/>
        <w:jc w:val="both"/>
        <w:rPr>
          <w:rFonts w:ascii="Bookman Old Style" w:hAnsi="Bookman Old Style" w:cs="TimesNewRomanPSMT"/>
        </w:rPr>
      </w:pPr>
    </w:p>
    <w:p w:rsidR="00E13F0F" w:rsidRPr="00E7034F" w:rsidRDefault="00E13F0F" w:rsidP="00E13F0F">
      <w:pPr>
        <w:pStyle w:val="Prrafodelista"/>
        <w:numPr>
          <w:ilvl w:val="0"/>
          <w:numId w:val="1"/>
        </w:numPr>
        <w:autoSpaceDE w:val="0"/>
        <w:autoSpaceDN w:val="0"/>
        <w:adjustRightInd w:val="0"/>
        <w:spacing w:after="0" w:line="240" w:lineRule="auto"/>
        <w:jc w:val="both"/>
        <w:rPr>
          <w:rFonts w:ascii="Bookman Old Style" w:hAnsi="Bookman Old Style" w:cs="TimesNewRomanPSMT"/>
          <w:b/>
          <w:i/>
        </w:rPr>
      </w:pPr>
      <w:r w:rsidRPr="00E7034F">
        <w:rPr>
          <w:rFonts w:ascii="Bookman Old Style" w:hAnsi="Bookman Old Style" w:cs="TimesNewRomanPSMT"/>
          <w:b/>
        </w:rPr>
        <w:t xml:space="preserve">Aspectos relativos a la designación del  Director Independiente. Resol. SSN 1119/2018 - </w:t>
      </w:r>
      <w:r w:rsidRPr="00E7034F">
        <w:rPr>
          <w:rFonts w:ascii="Bookman Old Style" w:hAnsi="Bookman Old Style" w:cs="TimesNewRomanPSMT"/>
          <w:b/>
          <w:i/>
        </w:rPr>
        <w:t>Ponencia del Dr. Gastón Raúl Martinez</w:t>
      </w:r>
    </w:p>
    <w:p w:rsidR="00E13F0F" w:rsidRPr="00E7034F" w:rsidRDefault="00E13F0F" w:rsidP="00E13F0F">
      <w:pPr>
        <w:autoSpaceDE w:val="0"/>
        <w:autoSpaceDN w:val="0"/>
        <w:adjustRightInd w:val="0"/>
        <w:spacing w:after="0" w:line="240" w:lineRule="auto"/>
        <w:jc w:val="both"/>
        <w:rPr>
          <w:rFonts w:ascii="Bookman Old Style" w:hAnsi="Bookman Old Style" w:cs="TimesNewRomanPSMT"/>
          <w:b/>
          <w:i/>
        </w:rPr>
      </w:pPr>
    </w:p>
    <w:p w:rsidR="00E13F0F" w:rsidRPr="00E7034F" w:rsidRDefault="00E13F0F" w:rsidP="00C91852">
      <w:pPr>
        <w:autoSpaceDE w:val="0"/>
        <w:autoSpaceDN w:val="0"/>
        <w:adjustRightInd w:val="0"/>
        <w:spacing w:after="0" w:line="240" w:lineRule="auto"/>
        <w:jc w:val="both"/>
        <w:rPr>
          <w:rFonts w:ascii="Bookman Old Style" w:hAnsi="Bookman Old Style" w:cs="TimesNewRomanPSMT"/>
        </w:rPr>
      </w:pPr>
      <w:r w:rsidRPr="00E7034F">
        <w:rPr>
          <w:rFonts w:ascii="Bookman Old Style" w:hAnsi="Bookman Old Style" w:cs="TimesNewRomanPSMT"/>
        </w:rPr>
        <w:t>La misma realiza una clara descripción de los principios y cuestiones imperativas incorporadas en la Resolución de SSN Nro 1119/2018.</w:t>
      </w:r>
    </w:p>
    <w:p w:rsidR="00E13F0F" w:rsidRPr="00E7034F" w:rsidRDefault="00E13F0F" w:rsidP="00C91852">
      <w:pPr>
        <w:autoSpaceDE w:val="0"/>
        <w:autoSpaceDN w:val="0"/>
        <w:adjustRightInd w:val="0"/>
        <w:spacing w:after="0" w:line="240" w:lineRule="auto"/>
        <w:jc w:val="both"/>
        <w:rPr>
          <w:rFonts w:ascii="Bookman Old Style" w:hAnsi="Bookman Old Style" w:cs="TimesNewRomanPSMT"/>
        </w:rPr>
      </w:pPr>
      <w:r w:rsidRPr="00E7034F">
        <w:rPr>
          <w:rFonts w:ascii="Bookman Old Style" w:hAnsi="Bookman Old Style" w:cs="TimesNewRomanPSMT"/>
        </w:rPr>
        <w:t xml:space="preserve">Relata que uno de los puntos salientes </w:t>
      </w:r>
      <w:r w:rsidR="00C91852">
        <w:rPr>
          <w:rFonts w:ascii="Bookman Old Style" w:hAnsi="Bookman Old Style" w:cs="TimesNewRomanPSMT"/>
        </w:rPr>
        <w:t>de la misma es</w:t>
      </w:r>
      <w:r w:rsidRPr="00E7034F">
        <w:rPr>
          <w:rFonts w:ascii="Bookman Old Style" w:hAnsi="Bookman Old Style" w:cs="TimesNewRomanPSMT"/>
        </w:rPr>
        <w:t xml:space="preserve"> la incorporación de</w:t>
      </w:r>
      <w:r w:rsidR="00C91852">
        <w:rPr>
          <w:rFonts w:ascii="Bookman Old Style" w:hAnsi="Bookman Old Style" w:cs="TimesNewRomanPSMT"/>
        </w:rPr>
        <w:t xml:space="preserve"> ciertos</w:t>
      </w:r>
      <w:r w:rsidRPr="00E7034F">
        <w:rPr>
          <w:rFonts w:ascii="Bookman Old Style" w:hAnsi="Bookman Old Style" w:cs="TimesNewRomanPSMT"/>
        </w:rPr>
        <w:t xml:space="preserve"> requisitos relativos a la experiencia, probidad e idoneidad profesional necesarias para integrar los órganos de administración de entidades aseguradoras y reaseguradoras; imponiendo específicamente la necesidad de contar –al menos- con un (1) director independiente con la formalización de estrictos requisitos.</w:t>
      </w:r>
    </w:p>
    <w:p w:rsidR="00E13F0F" w:rsidRPr="00E7034F" w:rsidRDefault="00E13F0F" w:rsidP="00C91852">
      <w:pPr>
        <w:autoSpaceDE w:val="0"/>
        <w:autoSpaceDN w:val="0"/>
        <w:adjustRightInd w:val="0"/>
        <w:spacing w:after="0" w:line="240" w:lineRule="auto"/>
        <w:jc w:val="both"/>
        <w:rPr>
          <w:rFonts w:ascii="Bookman Old Style" w:hAnsi="Bookman Old Style" w:cs="TimesNewRomanPSMT"/>
        </w:rPr>
      </w:pPr>
      <w:r w:rsidRPr="00E7034F">
        <w:rPr>
          <w:rFonts w:ascii="Bookman Old Style" w:hAnsi="Bookman Old Style" w:cs="TimesNewRomanPSMT"/>
        </w:rPr>
        <w:t xml:space="preserve">Finaliza la ponencia proponiendo </w:t>
      </w:r>
      <w:r w:rsidR="00C91852">
        <w:rPr>
          <w:rFonts w:ascii="Bookman Old Style" w:hAnsi="Bookman Old Style" w:cs="TimesNewRomanPSMT"/>
        </w:rPr>
        <w:t xml:space="preserve">la necesidad de una Reforma al </w:t>
      </w:r>
      <w:r w:rsidRPr="00E7034F">
        <w:rPr>
          <w:rFonts w:ascii="Bookman Old Style" w:hAnsi="Bookman Old Style" w:cs="TimesNewRomanPSMT"/>
        </w:rPr>
        <w:t xml:space="preserve">texto normativo adaptándolo a la realidad de las entidades cuyo tipo societario resulte ser una cooperativa o </w:t>
      </w:r>
      <w:r w:rsidR="00C91852">
        <w:rPr>
          <w:rFonts w:ascii="Bookman Old Style" w:hAnsi="Bookman Old Style" w:cs="TimesNewRomanPSMT"/>
        </w:rPr>
        <w:t xml:space="preserve">una </w:t>
      </w:r>
      <w:r w:rsidRPr="00E7034F">
        <w:rPr>
          <w:rFonts w:ascii="Bookman Old Style" w:hAnsi="Bookman Old Style" w:cs="TimesNewRomanPSMT"/>
        </w:rPr>
        <w:t xml:space="preserve"> mutual.</w:t>
      </w:r>
    </w:p>
    <w:p w:rsidR="00E13F0F" w:rsidRPr="00E7034F" w:rsidRDefault="00E13F0F" w:rsidP="00C91852">
      <w:pPr>
        <w:autoSpaceDE w:val="0"/>
        <w:autoSpaceDN w:val="0"/>
        <w:adjustRightInd w:val="0"/>
        <w:spacing w:after="0" w:line="240" w:lineRule="auto"/>
        <w:jc w:val="both"/>
        <w:rPr>
          <w:rFonts w:ascii="Bookman Old Style" w:hAnsi="Bookman Old Style" w:cs="TimesNewRomanPSMT"/>
        </w:rPr>
      </w:pPr>
    </w:p>
    <w:p w:rsidR="00E13F0F" w:rsidRPr="00E7034F" w:rsidRDefault="00E13F0F" w:rsidP="00E13F0F">
      <w:pPr>
        <w:pStyle w:val="Default"/>
        <w:rPr>
          <w:rFonts w:ascii="Bookman Old Style" w:hAnsi="Bookman Old Style"/>
          <w:sz w:val="22"/>
          <w:szCs w:val="22"/>
        </w:rPr>
      </w:pPr>
    </w:p>
    <w:p w:rsidR="00E13F0F" w:rsidRPr="00E7034F" w:rsidRDefault="00E13F0F" w:rsidP="00E13F0F">
      <w:pPr>
        <w:pStyle w:val="Default"/>
        <w:numPr>
          <w:ilvl w:val="0"/>
          <w:numId w:val="1"/>
        </w:numPr>
        <w:rPr>
          <w:rFonts w:ascii="Bookman Old Style" w:hAnsi="Bookman Old Style" w:cs="TimesNewRomanPSMT"/>
          <w:sz w:val="22"/>
          <w:szCs w:val="22"/>
        </w:rPr>
      </w:pPr>
      <w:r w:rsidRPr="00E7034F">
        <w:rPr>
          <w:rFonts w:ascii="Bookman Old Style" w:hAnsi="Bookman Old Style"/>
          <w:b/>
          <w:bCs/>
          <w:sz w:val="22"/>
          <w:szCs w:val="22"/>
        </w:rPr>
        <w:t xml:space="preserve">Normas de Gobierno Corporativo:  Un desafío para el Mercado Asegurador argentino- </w:t>
      </w:r>
      <w:r w:rsidRPr="00E7034F">
        <w:rPr>
          <w:rFonts w:ascii="Bookman Old Style" w:hAnsi="Bookman Old Style"/>
          <w:b/>
          <w:bCs/>
          <w:i/>
          <w:sz w:val="22"/>
          <w:szCs w:val="22"/>
        </w:rPr>
        <w:t>Ponencia de la Dra. Graciela Testón</w:t>
      </w:r>
    </w:p>
    <w:p w:rsidR="00E13F0F" w:rsidRPr="00E7034F" w:rsidRDefault="00E13F0F" w:rsidP="00E13F0F">
      <w:pPr>
        <w:pStyle w:val="Default"/>
        <w:rPr>
          <w:rFonts w:ascii="Bookman Old Style" w:hAnsi="Bookman Old Style" w:cs="TimesNewRomanPSMT"/>
          <w:sz w:val="22"/>
          <w:szCs w:val="22"/>
        </w:rPr>
      </w:pPr>
    </w:p>
    <w:p w:rsidR="00E13F0F" w:rsidRPr="00E7034F" w:rsidRDefault="00E13F0F" w:rsidP="00E13F0F">
      <w:pPr>
        <w:pStyle w:val="Default"/>
        <w:jc w:val="both"/>
        <w:rPr>
          <w:rFonts w:ascii="Bookman Old Style" w:hAnsi="Bookman Old Style"/>
          <w:sz w:val="22"/>
          <w:szCs w:val="22"/>
        </w:rPr>
      </w:pPr>
      <w:r w:rsidRPr="00E7034F">
        <w:rPr>
          <w:rFonts w:ascii="Bookman Old Style" w:hAnsi="Bookman Old Style"/>
          <w:sz w:val="22"/>
          <w:szCs w:val="22"/>
        </w:rPr>
        <w:t xml:space="preserve">Luego de un </w:t>
      </w:r>
      <w:r w:rsidR="00F12440">
        <w:rPr>
          <w:rFonts w:ascii="Bookman Old Style" w:hAnsi="Bookman Old Style"/>
          <w:sz w:val="22"/>
          <w:szCs w:val="22"/>
        </w:rPr>
        <w:t xml:space="preserve">detalle </w:t>
      </w:r>
      <w:r w:rsidRPr="00E7034F">
        <w:rPr>
          <w:rFonts w:ascii="Bookman Old Style" w:hAnsi="Bookman Old Style"/>
          <w:sz w:val="22"/>
          <w:szCs w:val="22"/>
        </w:rPr>
        <w:t xml:space="preserve"> de los antecedentes, definiciones, principios    y normas que respaldan la implementación del “Gobierno Corporativo; esta ponencia se centra  en los  pilares para el logro de sus objetivos ( </w:t>
      </w:r>
      <w:r w:rsidRPr="00E7034F">
        <w:rPr>
          <w:rFonts w:ascii="Bookman Old Style" w:hAnsi="Bookman Old Style"/>
          <w:bCs/>
          <w:sz w:val="22"/>
          <w:szCs w:val="22"/>
        </w:rPr>
        <w:t xml:space="preserve">transparencia, rendición de cuentas, segregación de funciones y cumplimiento normativo) los  que se implementan principalmente en base a </w:t>
      </w:r>
      <w:r w:rsidRPr="00E7034F">
        <w:rPr>
          <w:rFonts w:ascii="Bookman Old Style" w:hAnsi="Bookman Old Style"/>
          <w:sz w:val="22"/>
          <w:szCs w:val="22"/>
        </w:rPr>
        <w:t xml:space="preserve">Programas de integridad y a  metodología de gestión de riesgos. </w:t>
      </w:r>
    </w:p>
    <w:p w:rsidR="00E13F0F" w:rsidRPr="00E7034F" w:rsidRDefault="00E13F0F" w:rsidP="00E13F0F">
      <w:pPr>
        <w:pStyle w:val="Default"/>
        <w:jc w:val="both"/>
        <w:rPr>
          <w:rFonts w:ascii="Bookman Old Style" w:hAnsi="Bookman Old Style"/>
          <w:sz w:val="22"/>
          <w:szCs w:val="22"/>
        </w:rPr>
      </w:pPr>
    </w:p>
    <w:p w:rsidR="00E13F0F" w:rsidRPr="00E7034F" w:rsidRDefault="00E13F0F" w:rsidP="00E13F0F">
      <w:pPr>
        <w:pStyle w:val="Default"/>
        <w:jc w:val="both"/>
        <w:rPr>
          <w:rFonts w:ascii="Bookman Old Style" w:hAnsi="Bookman Old Style"/>
          <w:sz w:val="22"/>
          <w:szCs w:val="22"/>
        </w:rPr>
      </w:pPr>
      <w:r w:rsidRPr="00E7034F">
        <w:rPr>
          <w:rFonts w:ascii="Bookman Old Style" w:hAnsi="Bookman Old Style"/>
          <w:sz w:val="22"/>
          <w:szCs w:val="22"/>
        </w:rPr>
        <w:t>Concluye la misma con  una mirada a la época de la Pandemia Covid 19; resaltando que si hubo un impacto positivo fue aquel registrado en la conciencia empresaria, reconociendo la necesidad de mantener una activa autoevaluación de riesgos, un programa de mitigación, una estructura de control, una mejora continua y en definitiva asumir que la Dirección de las Empresas con Transparencia y Control de los Riesgos a la que está expuesta, no es más ni menos que cumplir con la manda que deviene de la primigenia responsabilidad de los Administradores de las sociedades cual es la de “obrar con lealtad y diligencia de un buen hombre de negocios” ( art. 59 y cctes de la ley 19.550).</w:t>
      </w:r>
    </w:p>
    <w:p w:rsidR="0052558E" w:rsidRPr="00E7034F" w:rsidRDefault="0052558E" w:rsidP="00FB60B5">
      <w:pPr>
        <w:autoSpaceDE w:val="0"/>
        <w:autoSpaceDN w:val="0"/>
        <w:adjustRightInd w:val="0"/>
        <w:spacing w:after="0" w:line="240" w:lineRule="auto"/>
        <w:jc w:val="both"/>
        <w:rPr>
          <w:rFonts w:ascii="Bookman Old Style" w:hAnsi="Bookman Old Style" w:cs="TimesNewRomanPSMT"/>
        </w:rPr>
      </w:pPr>
      <w:bookmarkStart w:id="0" w:name="_GoBack"/>
      <w:bookmarkEnd w:id="0"/>
    </w:p>
    <w:sectPr w:rsidR="0052558E" w:rsidRPr="00E7034F" w:rsidSect="005C585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1A8" w:rsidRDefault="002021A8" w:rsidP="00670D49">
      <w:pPr>
        <w:spacing w:after="0" w:line="240" w:lineRule="auto"/>
      </w:pPr>
      <w:r>
        <w:separator/>
      </w:r>
    </w:p>
  </w:endnote>
  <w:endnote w:type="continuationSeparator" w:id="0">
    <w:p w:rsidR="002021A8" w:rsidRDefault="002021A8" w:rsidP="00670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1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1A8" w:rsidRDefault="002021A8" w:rsidP="00670D49">
      <w:pPr>
        <w:spacing w:after="0" w:line="240" w:lineRule="auto"/>
      </w:pPr>
      <w:r>
        <w:separator/>
      </w:r>
    </w:p>
  </w:footnote>
  <w:footnote w:type="continuationSeparator" w:id="0">
    <w:p w:rsidR="002021A8" w:rsidRDefault="002021A8" w:rsidP="00670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0244F"/>
    <w:multiLevelType w:val="hybridMultilevel"/>
    <w:tmpl w:val="894A875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17A23"/>
    <w:rsid w:val="00086896"/>
    <w:rsid w:val="00086EB1"/>
    <w:rsid w:val="0019165D"/>
    <w:rsid w:val="002021A8"/>
    <w:rsid w:val="00360B80"/>
    <w:rsid w:val="004B163E"/>
    <w:rsid w:val="0052558E"/>
    <w:rsid w:val="00570846"/>
    <w:rsid w:val="005C5850"/>
    <w:rsid w:val="00670D49"/>
    <w:rsid w:val="008C35E0"/>
    <w:rsid w:val="009953F3"/>
    <w:rsid w:val="00A27A1E"/>
    <w:rsid w:val="00AD2144"/>
    <w:rsid w:val="00AD65F2"/>
    <w:rsid w:val="00B17A23"/>
    <w:rsid w:val="00BF15DB"/>
    <w:rsid w:val="00C81D8D"/>
    <w:rsid w:val="00C91852"/>
    <w:rsid w:val="00CE4FF6"/>
    <w:rsid w:val="00D40ACE"/>
    <w:rsid w:val="00DF5B45"/>
    <w:rsid w:val="00E13F0F"/>
    <w:rsid w:val="00E7034F"/>
    <w:rsid w:val="00ED13D8"/>
    <w:rsid w:val="00F12440"/>
    <w:rsid w:val="00F24340"/>
    <w:rsid w:val="00F411A4"/>
    <w:rsid w:val="00F54835"/>
    <w:rsid w:val="00FB60B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0B5"/>
    <w:pPr>
      <w:ind w:left="720"/>
      <w:contextualSpacing/>
    </w:pPr>
  </w:style>
  <w:style w:type="paragraph" w:customStyle="1" w:styleId="Default">
    <w:name w:val="Default"/>
    <w:rsid w:val="00F548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onotapieCar">
    <w:name w:val="Texto nota pie Car"/>
    <w:aliases w:val="fn Car,ft Car,Footnote Text Char Char Char Char Char Car,Footnote Text Char Char Char Char Car,Footnote reference Car,FA Fu Car,Footnote Text Char Char Char Car,Footnote Text Cha Car,FA Fußnotentext Car,FA Fuﬂnotentext Car,Ca Car"/>
    <w:basedOn w:val="Fuentedeprrafopredeter"/>
    <w:link w:val="Textonotapie"/>
    <w:semiHidden/>
    <w:locked/>
    <w:rsid w:val="00670D49"/>
    <w:rPr>
      <w:rFonts w:ascii="Times New Roman" w:eastAsia="Times New Roman" w:hAnsi="Times New Roman" w:cs="Times New Roman"/>
      <w:sz w:val="20"/>
      <w:szCs w:val="20"/>
      <w:lang w:eastAsia="es-ES"/>
    </w:rPr>
  </w:style>
  <w:style w:type="paragraph" w:styleId="Textonotapie">
    <w:name w:val="footnote text"/>
    <w:aliases w:val="fn,ft,Footnote Text Char Char Char Char Char,Footnote Text Char Char Char Char,Footnote reference,FA Fu,Footnote Text Char Char Char,Footnote Text Cha,FA Fußnotentext,FA Fuﬂnotentext,Footnote Text Char Char,FA Fu?notente,Ca"/>
    <w:basedOn w:val="Normal"/>
    <w:link w:val="TextonotapieCar"/>
    <w:semiHidden/>
    <w:unhideWhenUsed/>
    <w:qFormat/>
    <w:rsid w:val="00670D49"/>
    <w:pPr>
      <w:spacing w:after="0" w:line="240" w:lineRule="auto"/>
    </w:pPr>
    <w:rPr>
      <w:rFonts w:ascii="Times New Roman" w:eastAsia="Times New Roman" w:hAnsi="Times New Roman" w:cs="Times New Roman"/>
      <w:sz w:val="20"/>
      <w:szCs w:val="20"/>
      <w:lang w:eastAsia="es-ES"/>
    </w:rPr>
  </w:style>
  <w:style w:type="character" w:customStyle="1" w:styleId="TextonotapieCar1">
    <w:name w:val="Texto nota pie Car1"/>
    <w:basedOn w:val="Fuentedeprrafopredeter"/>
    <w:uiPriority w:val="99"/>
    <w:semiHidden/>
    <w:rsid w:val="00670D49"/>
    <w:rPr>
      <w:sz w:val="20"/>
      <w:szCs w:val="20"/>
    </w:rPr>
  </w:style>
  <w:style w:type="paragraph" w:styleId="Textoindependiente">
    <w:name w:val="Body Text"/>
    <w:basedOn w:val="Normal"/>
    <w:link w:val="TextoindependienteCar"/>
    <w:semiHidden/>
    <w:unhideWhenUsed/>
    <w:rsid w:val="00670D49"/>
    <w:pPr>
      <w:spacing w:after="0" w:line="240" w:lineRule="auto"/>
      <w:jc w:val="both"/>
    </w:pPr>
    <w:rPr>
      <w:rFonts w:ascii="Times New Roman" w:eastAsia="Times New Roman" w:hAnsi="Times New Roman" w:cs="Times New Roman"/>
      <w:bCs/>
      <w:sz w:val="24"/>
      <w:szCs w:val="20"/>
      <w:lang w:val="fr-FR" w:eastAsia="es-ES"/>
    </w:rPr>
  </w:style>
  <w:style w:type="character" w:customStyle="1" w:styleId="TextoindependienteCar">
    <w:name w:val="Texto independiente Car"/>
    <w:basedOn w:val="Fuentedeprrafopredeter"/>
    <w:link w:val="Textoindependiente"/>
    <w:semiHidden/>
    <w:rsid w:val="00670D49"/>
    <w:rPr>
      <w:rFonts w:ascii="Times New Roman" w:eastAsia="Times New Roman" w:hAnsi="Times New Roman" w:cs="Times New Roman"/>
      <w:bCs/>
      <w:sz w:val="24"/>
      <w:szCs w:val="20"/>
      <w:lang w:val="fr-FR" w:eastAsia="es-ES"/>
    </w:rPr>
  </w:style>
  <w:style w:type="character" w:styleId="Refdenotaalpie">
    <w:name w:val="footnote reference"/>
    <w:aliases w:val="FC,Ref. de nota al pie 2,Pie de Página,Footnotes refss"/>
    <w:semiHidden/>
    <w:unhideWhenUsed/>
    <w:rsid w:val="00670D49"/>
    <w:rPr>
      <w:vertAlign w:val="superscript"/>
    </w:rPr>
  </w:style>
</w:styles>
</file>

<file path=word/webSettings.xml><?xml version="1.0" encoding="utf-8"?>
<w:webSettings xmlns:r="http://schemas.openxmlformats.org/officeDocument/2006/relationships" xmlns:w="http://schemas.openxmlformats.org/wordprocessingml/2006/main">
  <w:divs>
    <w:div w:id="20918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Teston, Graciela</dc:creator>
  <cp:lastModifiedBy>Susana</cp:lastModifiedBy>
  <cp:revision>2</cp:revision>
  <dcterms:created xsi:type="dcterms:W3CDTF">2022-05-30T16:20:00Z</dcterms:created>
  <dcterms:modified xsi:type="dcterms:W3CDTF">2022-05-30T16:20:00Z</dcterms:modified>
</cp:coreProperties>
</file>